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3FF00610" w:rsidR="00E66558" w:rsidRDefault="009D71E8">
      <w:pPr>
        <w:pStyle w:val="Heading1"/>
      </w:pPr>
      <w:bookmarkStart w:id="0" w:name="_Toc400361362"/>
      <w:bookmarkStart w:id="1" w:name="_Toc443397153"/>
      <w:bookmarkStart w:id="2" w:name="_Toc357771638"/>
      <w:bookmarkStart w:id="3" w:name="_Toc346793416"/>
      <w:bookmarkStart w:id="4" w:name="_Toc328122777"/>
      <w:bookmarkStart w:id="5" w:name="_GoBack"/>
      <w:bookmarkEnd w:id="5"/>
      <w:r>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rsidR="00226317">
        <w:t xml:space="preserve"> – </w:t>
      </w:r>
      <w:r w:rsidR="000352E5">
        <w:t>Barlow Hall Primary School</w:t>
      </w:r>
      <w:r w:rsidR="0099223B">
        <w:t xml:space="preserve"> (25/26)</w:t>
      </w:r>
    </w:p>
    <w:p w14:paraId="57AD2424" w14:textId="77777777" w:rsidR="004B1F58" w:rsidRDefault="004B1F58" w:rsidP="004B1F58">
      <w:pPr>
        <w:spacing w:after="0"/>
      </w:pPr>
    </w:p>
    <w:p w14:paraId="16B48015" w14:textId="19EBF596" w:rsidR="00E66558" w:rsidRDefault="009D71E8" w:rsidP="00C62989">
      <w:pPr>
        <w:rPr>
          <w:b/>
        </w:rPr>
      </w:pPr>
      <w:r>
        <w:t xml:space="preserve">This statement details our school’s use of pupil </w:t>
      </w:r>
      <w:r w:rsidRPr="005F2600">
        <w:t xml:space="preserve">premium </w:t>
      </w:r>
      <w:r>
        <w:t xml:space="preserve">funding </w:t>
      </w:r>
      <w:r w:rsidR="000352E5">
        <w:t xml:space="preserve">for the academic year 2025 to 2026 </w:t>
      </w:r>
      <w:r>
        <w:t xml:space="preserve">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323C9409" w:rsidR="002940F3" w:rsidRDefault="009D08BC" w:rsidP="00C31636">
            <w:pPr>
              <w:pStyle w:val="TableRow"/>
              <w:ind w:left="0" w:right="0"/>
            </w:pPr>
            <w:r>
              <w:t>220</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41966ADF" w:rsidR="002940F3" w:rsidRDefault="009D08BC" w:rsidP="00C31636">
            <w:pPr>
              <w:pStyle w:val="TableRow"/>
              <w:ind w:left="0" w:right="0"/>
            </w:pPr>
            <w:r>
              <w:t>60.5</w:t>
            </w:r>
            <w:r w:rsidR="000352E5">
              <w:t>%</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D3A4C5" w14:textId="77777777" w:rsidR="000352E5" w:rsidRDefault="000352E5" w:rsidP="00C31636">
            <w:pPr>
              <w:pStyle w:val="TableRow"/>
              <w:ind w:left="0" w:right="0"/>
            </w:pPr>
            <w:r>
              <w:t>23/24</w:t>
            </w:r>
          </w:p>
          <w:p w14:paraId="4112E16D" w14:textId="77777777" w:rsidR="000352E5" w:rsidRDefault="000352E5" w:rsidP="00C31636">
            <w:pPr>
              <w:pStyle w:val="TableRow"/>
              <w:ind w:left="0" w:right="0"/>
            </w:pPr>
            <w:r>
              <w:t>24/25</w:t>
            </w:r>
          </w:p>
          <w:p w14:paraId="2A7D54BF" w14:textId="71CF8449" w:rsidR="002940F3" w:rsidRDefault="000352E5" w:rsidP="00C31636">
            <w:pPr>
              <w:pStyle w:val="TableRow"/>
              <w:ind w:left="0" w:right="0"/>
            </w:pPr>
            <w:r>
              <w:t>25/26</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77EB4D21" w:rsidR="002940F3" w:rsidRDefault="000352E5" w:rsidP="00C31636">
            <w:pPr>
              <w:pStyle w:val="TableRow"/>
              <w:ind w:left="0" w:right="0"/>
            </w:pPr>
            <w:r>
              <w:t>December 2025</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08D70840" w:rsidR="002940F3" w:rsidRDefault="000352E5" w:rsidP="00C31636">
            <w:pPr>
              <w:pStyle w:val="TableRow"/>
              <w:ind w:left="0" w:right="0"/>
            </w:pPr>
            <w:r>
              <w:t>October 2026</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322F5C4D" w:rsidR="002940F3" w:rsidRDefault="000352E5" w:rsidP="00C31636">
            <w:pPr>
              <w:pStyle w:val="TableRow"/>
              <w:ind w:left="0" w:right="0"/>
            </w:pPr>
            <w:r>
              <w:t>Alice Corlett</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73AEE2D7" w:rsidR="002940F3" w:rsidRDefault="000352E5" w:rsidP="00C31636">
            <w:pPr>
              <w:pStyle w:val="TableRow"/>
              <w:ind w:left="0" w:right="0"/>
            </w:pPr>
            <w:r>
              <w:t>Alice Corlett</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085F692F" w:rsidR="002940F3" w:rsidRDefault="000352E5" w:rsidP="00C31636">
            <w:pPr>
              <w:pStyle w:val="TableRow"/>
              <w:ind w:left="0" w:right="0"/>
            </w:pPr>
            <w:r>
              <w:t>Matthew Williams</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654416DA" w:rsidR="00E66558" w:rsidRDefault="009D71E8" w:rsidP="00C31636">
            <w:pPr>
              <w:pStyle w:val="TableRow"/>
              <w:ind w:left="0" w:right="0"/>
            </w:pPr>
            <w:r>
              <w:t>£</w:t>
            </w:r>
            <w:r w:rsidR="000352E5">
              <w:t>182,101</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41C33FAA" w:rsidR="00E66558" w:rsidRDefault="009D71E8" w:rsidP="00C31636">
            <w:pPr>
              <w:pStyle w:val="TableRow"/>
              <w:ind w:left="0" w:right="0"/>
            </w:pPr>
            <w:r>
              <w:t>£</w:t>
            </w:r>
            <w:r w:rsidR="000352E5">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2572A773" w:rsidR="00E66558" w:rsidRDefault="009D71E8" w:rsidP="00C31636">
            <w:pPr>
              <w:pStyle w:val="TableRow"/>
              <w:ind w:left="0" w:right="0"/>
            </w:pPr>
            <w:r>
              <w:t>£</w:t>
            </w:r>
            <w:r w:rsidR="000352E5">
              <w:t>182,101</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B7B3C" w14:textId="77777777" w:rsidR="000352E5" w:rsidRPr="006201EB" w:rsidRDefault="000352E5" w:rsidP="006201EB">
            <w:pPr>
              <w:spacing w:line="240" w:lineRule="auto"/>
              <w:rPr>
                <w:rFonts w:cs="Arial"/>
                <w:sz w:val="22"/>
                <w:szCs w:val="22"/>
              </w:rPr>
            </w:pPr>
            <w:r w:rsidRPr="006201EB">
              <w:rPr>
                <w:rFonts w:cs="Arial"/>
                <w:sz w:val="22"/>
                <w:szCs w:val="22"/>
              </w:rPr>
              <w:t xml:space="preserve">Some of our disadvantaged pupils need specific additional support following a needs analysis in order to enjoy and succeed academically ensuring they achieve well and make good progress from their starting points. </w:t>
            </w:r>
          </w:p>
          <w:p w14:paraId="77D0AF0E" w14:textId="77777777" w:rsidR="000352E5" w:rsidRPr="006201EB" w:rsidRDefault="000352E5" w:rsidP="006201EB">
            <w:pPr>
              <w:spacing w:line="240" w:lineRule="auto"/>
              <w:rPr>
                <w:rFonts w:cs="Arial"/>
                <w:sz w:val="22"/>
                <w:szCs w:val="22"/>
              </w:rPr>
            </w:pPr>
            <w:r w:rsidRPr="006201EB">
              <w:rPr>
                <w:rFonts w:cs="Arial"/>
                <w:sz w:val="22"/>
                <w:szCs w:val="22"/>
              </w:rPr>
              <w:t xml:space="preserve">High quality first teaching is at the heart of our approach. The strategies outlined support both disadvantaged and non-disadvantaged pupils at Barlow Hall. </w:t>
            </w:r>
          </w:p>
          <w:p w14:paraId="60B7160C" w14:textId="77777777" w:rsidR="000352E5" w:rsidRPr="006201EB" w:rsidRDefault="000352E5" w:rsidP="006201EB">
            <w:pPr>
              <w:spacing w:line="240" w:lineRule="auto"/>
              <w:rPr>
                <w:rFonts w:cs="Arial"/>
                <w:sz w:val="22"/>
                <w:szCs w:val="22"/>
              </w:rPr>
            </w:pPr>
            <w:r w:rsidRPr="006201EB">
              <w:rPr>
                <w:rFonts w:cs="Arial"/>
                <w:sz w:val="22"/>
                <w:szCs w:val="22"/>
              </w:rPr>
              <w:t xml:space="preserve">Our current strategy focuses on: </w:t>
            </w:r>
          </w:p>
          <w:p w14:paraId="6176E9B2" w14:textId="77777777" w:rsidR="000352E5" w:rsidRPr="006201EB" w:rsidRDefault="000352E5" w:rsidP="006201EB">
            <w:pPr>
              <w:spacing w:line="240" w:lineRule="auto"/>
              <w:ind w:left="360"/>
              <w:rPr>
                <w:rFonts w:cs="Arial"/>
                <w:sz w:val="22"/>
                <w:szCs w:val="22"/>
              </w:rPr>
            </w:pPr>
            <w:r w:rsidRPr="006201EB">
              <w:rPr>
                <w:rFonts w:cs="Arial"/>
                <w:sz w:val="22"/>
                <w:szCs w:val="22"/>
              </w:rPr>
              <w:t xml:space="preserve">• Developing oral language skills and extending the vocabulary that our children use. </w:t>
            </w:r>
          </w:p>
          <w:p w14:paraId="6517C361" w14:textId="77777777" w:rsidR="000352E5" w:rsidRPr="006201EB" w:rsidRDefault="000352E5" w:rsidP="006201EB">
            <w:pPr>
              <w:spacing w:line="240" w:lineRule="auto"/>
              <w:ind w:left="360"/>
              <w:rPr>
                <w:rFonts w:cs="Arial"/>
                <w:sz w:val="22"/>
                <w:szCs w:val="22"/>
              </w:rPr>
            </w:pPr>
            <w:r w:rsidRPr="006201EB">
              <w:rPr>
                <w:rFonts w:cs="Arial"/>
                <w:sz w:val="22"/>
                <w:szCs w:val="22"/>
              </w:rPr>
              <w:t xml:space="preserve">• Supporting school readiness for children joining our early Years whether at Barlow Bears (two year old provision), nursery or reception cohorts. </w:t>
            </w:r>
          </w:p>
          <w:p w14:paraId="154CAAF2" w14:textId="77777777" w:rsidR="000352E5" w:rsidRPr="006201EB" w:rsidRDefault="000352E5" w:rsidP="006201EB">
            <w:pPr>
              <w:spacing w:line="240" w:lineRule="auto"/>
              <w:ind w:left="360"/>
              <w:rPr>
                <w:rFonts w:cs="Arial"/>
                <w:sz w:val="22"/>
                <w:szCs w:val="22"/>
              </w:rPr>
            </w:pPr>
            <w:r w:rsidRPr="006201EB">
              <w:rPr>
                <w:rFonts w:cs="Arial"/>
                <w:sz w:val="22"/>
                <w:szCs w:val="22"/>
              </w:rPr>
              <w:t xml:space="preserve">• Developing strategies for children to support their concentration and metacognition </w:t>
            </w:r>
          </w:p>
          <w:p w14:paraId="7CDAA637" w14:textId="46A7253F" w:rsidR="000352E5" w:rsidRPr="006201EB" w:rsidRDefault="000352E5" w:rsidP="006201EB">
            <w:pPr>
              <w:spacing w:line="240" w:lineRule="auto"/>
              <w:ind w:left="360"/>
              <w:rPr>
                <w:rFonts w:cs="Arial"/>
                <w:sz w:val="22"/>
                <w:szCs w:val="22"/>
              </w:rPr>
            </w:pPr>
            <w:r w:rsidRPr="006201EB">
              <w:rPr>
                <w:rFonts w:cs="Arial"/>
                <w:sz w:val="22"/>
                <w:szCs w:val="22"/>
              </w:rPr>
              <w:t xml:space="preserve">• Using researched intervention. </w:t>
            </w:r>
          </w:p>
          <w:p w14:paraId="4811DEBB" w14:textId="77777777" w:rsidR="000352E5" w:rsidRPr="006201EB" w:rsidRDefault="000352E5" w:rsidP="006201EB">
            <w:pPr>
              <w:spacing w:line="240" w:lineRule="auto"/>
              <w:ind w:left="360"/>
              <w:rPr>
                <w:rFonts w:cs="Arial"/>
                <w:sz w:val="22"/>
                <w:szCs w:val="22"/>
              </w:rPr>
            </w:pPr>
            <w:r w:rsidRPr="006201EB">
              <w:rPr>
                <w:rFonts w:cs="Arial"/>
                <w:sz w:val="22"/>
                <w:szCs w:val="22"/>
              </w:rPr>
              <w:t xml:space="preserve">• Developing strategies for children to support self-regulation. </w:t>
            </w:r>
          </w:p>
          <w:p w14:paraId="364D4D28" w14:textId="77777777" w:rsidR="000352E5" w:rsidRPr="006201EB" w:rsidRDefault="000352E5" w:rsidP="006201EB">
            <w:pPr>
              <w:spacing w:line="240" w:lineRule="auto"/>
              <w:ind w:left="360"/>
              <w:rPr>
                <w:rFonts w:cs="Arial"/>
                <w:sz w:val="22"/>
                <w:szCs w:val="22"/>
              </w:rPr>
            </w:pPr>
            <w:r w:rsidRPr="006201EB">
              <w:rPr>
                <w:rFonts w:cs="Arial"/>
                <w:sz w:val="22"/>
                <w:szCs w:val="22"/>
              </w:rPr>
              <w:t xml:space="preserve">• Supporting attendance for all children. </w:t>
            </w:r>
          </w:p>
          <w:p w14:paraId="7AB9F88C" w14:textId="77777777" w:rsidR="000352E5" w:rsidRPr="006201EB" w:rsidRDefault="000352E5" w:rsidP="006201EB">
            <w:pPr>
              <w:spacing w:line="240" w:lineRule="auto"/>
              <w:rPr>
                <w:rFonts w:cs="Arial"/>
                <w:sz w:val="22"/>
                <w:szCs w:val="22"/>
              </w:rPr>
            </w:pPr>
            <w:r w:rsidRPr="006201EB">
              <w:rPr>
                <w:rFonts w:cs="Arial"/>
                <w:sz w:val="22"/>
                <w:szCs w:val="22"/>
              </w:rPr>
              <w:t xml:space="preserve">Our key principles of our pupil premium strategy are: </w:t>
            </w:r>
          </w:p>
          <w:p w14:paraId="3A254DDF" w14:textId="77777777" w:rsidR="000352E5" w:rsidRPr="006201EB" w:rsidRDefault="000352E5" w:rsidP="006201EB">
            <w:pPr>
              <w:spacing w:line="240" w:lineRule="auto"/>
              <w:rPr>
                <w:rFonts w:cs="Arial"/>
                <w:sz w:val="22"/>
                <w:szCs w:val="22"/>
              </w:rPr>
            </w:pPr>
            <w:r w:rsidRPr="006201EB">
              <w:rPr>
                <w:rFonts w:cs="Arial"/>
                <w:sz w:val="22"/>
                <w:szCs w:val="22"/>
              </w:rPr>
              <w:t xml:space="preserve">• Early identification and intervention. </w:t>
            </w:r>
          </w:p>
          <w:p w14:paraId="5214DF7F" w14:textId="77777777" w:rsidR="000352E5" w:rsidRPr="006201EB" w:rsidRDefault="000352E5" w:rsidP="006201EB">
            <w:pPr>
              <w:spacing w:line="240" w:lineRule="auto"/>
              <w:rPr>
                <w:rFonts w:cs="Arial"/>
                <w:sz w:val="22"/>
                <w:szCs w:val="22"/>
              </w:rPr>
            </w:pPr>
            <w:r w:rsidRPr="006201EB">
              <w:rPr>
                <w:rFonts w:cs="Arial"/>
                <w:sz w:val="22"/>
                <w:szCs w:val="22"/>
              </w:rPr>
              <w:t xml:space="preserve">• A shared responsibility for outcomes across the whole staff team </w:t>
            </w:r>
          </w:p>
          <w:p w14:paraId="18B023CA" w14:textId="676613DC" w:rsidR="000352E5" w:rsidRPr="006201EB" w:rsidRDefault="000352E5" w:rsidP="006201EB">
            <w:pPr>
              <w:spacing w:line="240" w:lineRule="auto"/>
              <w:rPr>
                <w:rFonts w:cs="Arial"/>
                <w:sz w:val="22"/>
                <w:szCs w:val="22"/>
              </w:rPr>
            </w:pPr>
            <w:r w:rsidRPr="006201EB">
              <w:rPr>
                <w:rFonts w:cs="Arial"/>
                <w:sz w:val="22"/>
                <w:szCs w:val="22"/>
              </w:rPr>
              <w:t xml:space="preserve">• Increase the number of disadvantaged children achieving combined (reading, writing and maths) expected levels at the end of each phase in school, Early Years, KS1 and KS2. </w:t>
            </w:r>
          </w:p>
          <w:p w14:paraId="1CC8A880" w14:textId="77777777" w:rsidR="000352E5" w:rsidRPr="006201EB" w:rsidRDefault="000352E5" w:rsidP="006201EB">
            <w:pPr>
              <w:spacing w:line="240" w:lineRule="auto"/>
              <w:rPr>
                <w:rFonts w:cs="Arial"/>
                <w:sz w:val="22"/>
                <w:szCs w:val="22"/>
              </w:rPr>
            </w:pPr>
            <w:r w:rsidRPr="006201EB">
              <w:rPr>
                <w:rFonts w:cs="Arial"/>
                <w:sz w:val="22"/>
                <w:szCs w:val="22"/>
              </w:rPr>
              <w:t xml:space="preserve">• Clearly researched and evidenced strategies: </w:t>
            </w:r>
          </w:p>
          <w:p w14:paraId="60FEF010" w14:textId="77777777" w:rsidR="000352E5" w:rsidRPr="006201EB" w:rsidRDefault="000352E5" w:rsidP="006201EB">
            <w:pPr>
              <w:spacing w:line="240" w:lineRule="auto"/>
              <w:rPr>
                <w:rFonts w:cs="Arial"/>
                <w:sz w:val="22"/>
                <w:szCs w:val="22"/>
              </w:rPr>
            </w:pPr>
            <w:r w:rsidRPr="006201EB">
              <w:rPr>
                <w:rFonts w:ascii="Segoe UI Symbol" w:hAnsi="Segoe UI Symbol" w:cs="Segoe UI Symbol"/>
                <w:sz w:val="22"/>
                <w:szCs w:val="22"/>
              </w:rPr>
              <w:t>➢</w:t>
            </w:r>
            <w:r w:rsidRPr="006201EB">
              <w:rPr>
                <w:rFonts w:cs="Arial"/>
                <w:sz w:val="22"/>
                <w:szCs w:val="22"/>
              </w:rPr>
              <w:t xml:space="preserve"> “Teacher Feedback to Improve Learning. “ (EEF) </w:t>
            </w:r>
          </w:p>
          <w:p w14:paraId="23FC57D4" w14:textId="77777777" w:rsidR="000352E5" w:rsidRPr="006201EB" w:rsidRDefault="000352E5" w:rsidP="006201EB">
            <w:pPr>
              <w:spacing w:line="240" w:lineRule="auto"/>
              <w:rPr>
                <w:rFonts w:cs="Arial"/>
                <w:sz w:val="22"/>
                <w:szCs w:val="22"/>
              </w:rPr>
            </w:pPr>
            <w:r w:rsidRPr="006201EB">
              <w:rPr>
                <w:rFonts w:ascii="Segoe UI Symbol" w:hAnsi="Segoe UI Symbol" w:cs="Segoe UI Symbol"/>
                <w:sz w:val="22"/>
                <w:szCs w:val="22"/>
              </w:rPr>
              <w:t>➢</w:t>
            </w:r>
            <w:r w:rsidRPr="006201EB">
              <w:rPr>
                <w:rFonts w:cs="Arial"/>
                <w:sz w:val="22"/>
                <w:szCs w:val="22"/>
              </w:rPr>
              <w:t xml:space="preserve"> “Improving Literacy in KS1 and KS2” (EEF) </w:t>
            </w:r>
          </w:p>
          <w:p w14:paraId="530C50F6" w14:textId="49C9619B" w:rsidR="000352E5" w:rsidRPr="006201EB" w:rsidRDefault="000352E5" w:rsidP="006201EB">
            <w:pPr>
              <w:spacing w:line="240" w:lineRule="auto"/>
              <w:rPr>
                <w:rFonts w:cs="Arial"/>
                <w:sz w:val="22"/>
                <w:szCs w:val="22"/>
              </w:rPr>
            </w:pPr>
            <w:r w:rsidRPr="006201EB">
              <w:rPr>
                <w:rFonts w:ascii="Segoe UI Symbol" w:hAnsi="Segoe UI Symbol" w:cs="Segoe UI Symbol"/>
                <w:sz w:val="22"/>
                <w:szCs w:val="22"/>
              </w:rPr>
              <w:t>➢</w:t>
            </w:r>
            <w:r w:rsidRPr="006201EB">
              <w:rPr>
                <w:rFonts w:cs="Arial"/>
                <w:sz w:val="22"/>
                <w:szCs w:val="22"/>
              </w:rPr>
              <w:t xml:space="preserve"> “Preparing for Literacy.” (EEF) </w:t>
            </w:r>
          </w:p>
          <w:p w14:paraId="3C1C17A7" w14:textId="77777777" w:rsidR="000352E5" w:rsidRPr="006201EB" w:rsidRDefault="000352E5" w:rsidP="006201EB">
            <w:pPr>
              <w:spacing w:line="240" w:lineRule="auto"/>
              <w:rPr>
                <w:rFonts w:cs="Arial"/>
                <w:sz w:val="22"/>
                <w:szCs w:val="22"/>
              </w:rPr>
            </w:pPr>
            <w:r w:rsidRPr="006201EB">
              <w:rPr>
                <w:rFonts w:ascii="Segoe UI Symbol" w:hAnsi="Segoe UI Symbol" w:cs="Segoe UI Symbol"/>
                <w:sz w:val="22"/>
                <w:szCs w:val="22"/>
              </w:rPr>
              <w:t>➢</w:t>
            </w:r>
            <w:r w:rsidRPr="006201EB">
              <w:rPr>
                <w:rFonts w:cs="Arial"/>
                <w:sz w:val="22"/>
                <w:szCs w:val="22"/>
              </w:rPr>
              <w:t xml:space="preserve"> “Metacognition and Self-Regulated Learning.” (EEF) </w:t>
            </w:r>
          </w:p>
          <w:p w14:paraId="746A773F" w14:textId="77777777" w:rsidR="000352E5" w:rsidRPr="006201EB" w:rsidRDefault="000352E5" w:rsidP="006201EB">
            <w:pPr>
              <w:spacing w:line="240" w:lineRule="auto"/>
              <w:rPr>
                <w:rFonts w:cs="Arial"/>
                <w:sz w:val="22"/>
                <w:szCs w:val="22"/>
              </w:rPr>
            </w:pPr>
            <w:r w:rsidRPr="006201EB">
              <w:rPr>
                <w:rFonts w:ascii="Segoe UI Symbol" w:hAnsi="Segoe UI Symbol" w:cs="Segoe UI Symbol"/>
                <w:sz w:val="22"/>
                <w:szCs w:val="22"/>
              </w:rPr>
              <w:t>➢</w:t>
            </w:r>
            <w:r w:rsidRPr="006201EB">
              <w:rPr>
                <w:rFonts w:cs="Arial"/>
                <w:sz w:val="22"/>
                <w:szCs w:val="22"/>
              </w:rPr>
              <w:t xml:space="preserve"> “Improving Behaviour in Schools.” (EEF) </w:t>
            </w:r>
          </w:p>
          <w:p w14:paraId="289D4443" w14:textId="77777777" w:rsidR="000352E5" w:rsidRPr="006201EB" w:rsidRDefault="000352E5" w:rsidP="006201EB">
            <w:pPr>
              <w:spacing w:line="240" w:lineRule="auto"/>
              <w:rPr>
                <w:rFonts w:cs="Arial"/>
                <w:sz w:val="22"/>
                <w:szCs w:val="22"/>
              </w:rPr>
            </w:pPr>
            <w:r w:rsidRPr="006201EB">
              <w:rPr>
                <w:rFonts w:ascii="Segoe UI Symbol" w:hAnsi="Segoe UI Symbol" w:cs="Segoe UI Symbol"/>
                <w:sz w:val="22"/>
                <w:szCs w:val="22"/>
              </w:rPr>
              <w:t>➢</w:t>
            </w:r>
            <w:r w:rsidRPr="006201EB">
              <w:rPr>
                <w:rFonts w:cs="Arial"/>
                <w:sz w:val="22"/>
                <w:szCs w:val="22"/>
              </w:rPr>
              <w:t xml:space="preserve"> “Improving Mathematics in Early Years, KS1 and KS2” </w:t>
            </w:r>
          </w:p>
          <w:p w14:paraId="2A7D54E9" w14:textId="32BD70CD" w:rsidR="00E66558" w:rsidRPr="000352E5" w:rsidRDefault="000352E5" w:rsidP="006201EB">
            <w:pPr>
              <w:spacing w:line="240" w:lineRule="auto"/>
            </w:pPr>
            <w:r w:rsidRPr="006201EB">
              <w:rPr>
                <w:rFonts w:ascii="Segoe UI Symbol" w:hAnsi="Segoe UI Symbol" w:cs="Segoe UI Symbol"/>
                <w:sz w:val="22"/>
                <w:szCs w:val="22"/>
              </w:rPr>
              <w:t>➢</w:t>
            </w:r>
            <w:r w:rsidRPr="006201EB">
              <w:rPr>
                <w:rFonts w:cs="Arial"/>
                <w:sz w:val="22"/>
                <w:szCs w:val="22"/>
              </w:rPr>
              <w:t xml:space="preserve"> “Putting Evidence to Work – A School’s Guide to Implementation.” (EEF)</w:t>
            </w:r>
          </w:p>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6201EB" w:rsidRDefault="009D71E8" w:rsidP="00C31636">
            <w:pPr>
              <w:pStyle w:val="TableRow"/>
              <w:ind w:left="0" w:right="0"/>
              <w:rPr>
                <w:sz w:val="22"/>
                <w:szCs w:val="22"/>
              </w:rPr>
            </w:pPr>
            <w:r w:rsidRPr="006201EB">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3A190119" w:rsidR="00E66558" w:rsidRPr="006201EB" w:rsidRDefault="000352E5" w:rsidP="00C31636">
            <w:pPr>
              <w:pStyle w:val="TableRowCentered"/>
              <w:ind w:left="0" w:right="0"/>
              <w:jc w:val="left"/>
              <w:rPr>
                <w:sz w:val="22"/>
                <w:szCs w:val="22"/>
              </w:rPr>
            </w:pPr>
            <w:r w:rsidRPr="006201EB">
              <w:rPr>
                <w:sz w:val="22"/>
                <w:szCs w:val="22"/>
              </w:rPr>
              <w:t>Poor oral language skills and limited vocabulary, which will lead to lower outcomes in reading, writing and self-regulation</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6201EB" w:rsidRDefault="009D71E8" w:rsidP="00C31636">
            <w:pPr>
              <w:pStyle w:val="TableRow"/>
              <w:ind w:left="0" w:right="0"/>
              <w:rPr>
                <w:sz w:val="22"/>
                <w:szCs w:val="22"/>
              </w:rPr>
            </w:pPr>
            <w:r w:rsidRPr="006201EB">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0987B854" w:rsidR="00E66558" w:rsidRPr="006201EB" w:rsidRDefault="000352E5" w:rsidP="00C31636">
            <w:pPr>
              <w:pStyle w:val="TableRowCentered"/>
              <w:ind w:left="0" w:right="0"/>
              <w:jc w:val="left"/>
              <w:rPr>
                <w:sz w:val="22"/>
                <w:szCs w:val="22"/>
              </w:rPr>
            </w:pPr>
            <w:r w:rsidRPr="006201EB">
              <w:rPr>
                <w:sz w:val="22"/>
                <w:szCs w:val="22"/>
              </w:rPr>
              <w:t>Mathematical understanding and application of number and fluent recall of number facts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6201EB" w:rsidRDefault="009D71E8" w:rsidP="00C31636">
            <w:pPr>
              <w:pStyle w:val="TableRow"/>
              <w:ind w:left="0" w:right="0"/>
              <w:rPr>
                <w:sz w:val="22"/>
                <w:szCs w:val="22"/>
              </w:rPr>
            </w:pPr>
            <w:r w:rsidRPr="006201EB">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0E23A92D" w:rsidR="00E66558" w:rsidRPr="006201EB" w:rsidRDefault="000352E5" w:rsidP="00C31636">
            <w:pPr>
              <w:pStyle w:val="TableRowCentered"/>
              <w:ind w:left="0" w:right="0"/>
              <w:jc w:val="left"/>
              <w:rPr>
                <w:sz w:val="22"/>
                <w:szCs w:val="22"/>
              </w:rPr>
            </w:pPr>
            <w:r w:rsidRPr="006201EB">
              <w:rPr>
                <w:sz w:val="22"/>
                <w:szCs w:val="22"/>
              </w:rPr>
              <w:t>School readiness in Early Years including: Listening, attention and understanding, speaking, self-regulation as well as word reading, writing and number</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6201EB" w:rsidRDefault="009D71E8" w:rsidP="00C31636">
            <w:pPr>
              <w:pStyle w:val="TableRow"/>
              <w:ind w:left="0" w:right="0"/>
              <w:rPr>
                <w:sz w:val="22"/>
                <w:szCs w:val="22"/>
              </w:rPr>
            </w:pPr>
            <w:r w:rsidRPr="006201EB">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540933D2" w:rsidR="00E66558" w:rsidRPr="006201EB" w:rsidRDefault="000352E5" w:rsidP="00C31636">
            <w:pPr>
              <w:pStyle w:val="TableRowCentered"/>
              <w:ind w:left="0" w:right="0"/>
              <w:jc w:val="left"/>
              <w:rPr>
                <w:iCs/>
                <w:sz w:val="22"/>
                <w:szCs w:val="22"/>
              </w:rPr>
            </w:pPr>
            <w:r w:rsidRPr="006201EB">
              <w:rPr>
                <w:sz w:val="22"/>
                <w:szCs w:val="22"/>
              </w:rPr>
              <w:t>A range of additional needs that impact on children’s concentration, metacognition and self-regulated learning in school.</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Pr="006201EB" w:rsidRDefault="009D71E8" w:rsidP="00C31636">
            <w:pPr>
              <w:pStyle w:val="TableRow"/>
              <w:ind w:left="0" w:right="0"/>
              <w:rPr>
                <w:sz w:val="22"/>
                <w:szCs w:val="22"/>
              </w:rPr>
            </w:pPr>
            <w:bookmarkStart w:id="17" w:name="_Toc443397160"/>
            <w:r w:rsidRPr="006201EB">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654A45EF" w:rsidR="00E66558" w:rsidRPr="006201EB" w:rsidRDefault="000352E5" w:rsidP="00C31636">
            <w:pPr>
              <w:pStyle w:val="TableRowCentered"/>
              <w:ind w:left="0" w:right="0"/>
              <w:jc w:val="left"/>
              <w:rPr>
                <w:iCs/>
                <w:sz w:val="22"/>
                <w:szCs w:val="22"/>
              </w:rPr>
            </w:pPr>
            <w:r w:rsidRPr="006201EB">
              <w:rPr>
                <w:sz w:val="22"/>
                <w:szCs w:val="22"/>
              </w:rPr>
              <w:t>Low attendance, poor punctuality and parental engagement for some disadvantaged families</w:t>
            </w:r>
          </w:p>
        </w:tc>
      </w:tr>
    </w:tbl>
    <w:p w14:paraId="2A7D54FF" w14:textId="77777777"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2C44647B" w:rsidR="00E66558" w:rsidRPr="006201EB" w:rsidRDefault="000352E5" w:rsidP="00C31636">
            <w:pPr>
              <w:pStyle w:val="TableRow"/>
              <w:ind w:left="0" w:right="0"/>
              <w:rPr>
                <w:sz w:val="22"/>
                <w:szCs w:val="22"/>
              </w:rPr>
            </w:pPr>
            <w:r w:rsidRPr="006201EB">
              <w:rPr>
                <w:sz w:val="22"/>
                <w:szCs w:val="22"/>
              </w:rPr>
              <w:t>Improved language and vocabulary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7A338935" w:rsidR="00E66558" w:rsidRPr="006201EB" w:rsidRDefault="006201EB" w:rsidP="00C31636">
            <w:pPr>
              <w:pStyle w:val="TableRowCentered"/>
              <w:ind w:left="0" w:right="0"/>
              <w:jc w:val="left"/>
              <w:rPr>
                <w:sz w:val="22"/>
                <w:szCs w:val="22"/>
              </w:rPr>
            </w:pPr>
            <w:r w:rsidRPr="006201EB">
              <w:rPr>
                <w:sz w:val="22"/>
                <w:szCs w:val="22"/>
              </w:rPr>
              <w:t>Formative assessments, lesson observation and pupil voice activity demonstrate improved oral language, which are impacting on better reading and writing outcomes.</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4110FDB8" w:rsidR="00E66558" w:rsidRPr="006201EB" w:rsidRDefault="000352E5" w:rsidP="00C31636">
            <w:pPr>
              <w:pStyle w:val="TableRow"/>
              <w:ind w:left="0" w:right="0"/>
              <w:rPr>
                <w:sz w:val="22"/>
                <w:szCs w:val="22"/>
              </w:rPr>
            </w:pPr>
            <w:r w:rsidRPr="006201EB">
              <w:rPr>
                <w:sz w:val="22"/>
                <w:szCs w:val="22"/>
              </w:rPr>
              <w:t>Better mathematics outcomes for disadvantaged learners.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07C9B9B6" w:rsidR="00E66558" w:rsidRPr="006201EB" w:rsidRDefault="006201EB" w:rsidP="00C31636">
            <w:pPr>
              <w:pStyle w:val="TableRowCentered"/>
              <w:ind w:left="0" w:right="0"/>
              <w:jc w:val="left"/>
              <w:rPr>
                <w:sz w:val="22"/>
                <w:szCs w:val="22"/>
              </w:rPr>
            </w:pPr>
            <w:r w:rsidRPr="006201EB">
              <w:rPr>
                <w:sz w:val="22"/>
                <w:szCs w:val="22"/>
              </w:rPr>
              <w:t>Improved GLD, reading and writing at KS1 and KS2. The gap closed for disadvantaged pupils when compared to autumn assessments.</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1FBE2790" w:rsidR="00E66558" w:rsidRPr="006201EB" w:rsidRDefault="000352E5" w:rsidP="00C31636">
            <w:pPr>
              <w:pStyle w:val="TableRow"/>
              <w:ind w:left="0" w:right="0"/>
              <w:rPr>
                <w:sz w:val="22"/>
                <w:szCs w:val="22"/>
              </w:rPr>
            </w:pPr>
            <w:r w:rsidRPr="006201EB">
              <w:rPr>
                <w:sz w:val="22"/>
                <w:szCs w:val="22"/>
              </w:rPr>
              <w:t>Improved school readiness for children in Barlow Bears, Nursery and reception.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2DB2E2B9" w:rsidR="00E66558" w:rsidRPr="006201EB" w:rsidRDefault="006201EB" w:rsidP="00C31636">
            <w:pPr>
              <w:pStyle w:val="TableRowCentered"/>
              <w:ind w:left="0" w:right="0"/>
              <w:jc w:val="left"/>
              <w:rPr>
                <w:sz w:val="22"/>
                <w:szCs w:val="22"/>
              </w:rPr>
            </w:pPr>
            <w:r w:rsidRPr="006201EB">
              <w:rPr>
                <w:sz w:val="22"/>
                <w:szCs w:val="22"/>
              </w:rPr>
              <w:t>Improved Wellcomm scores (language assessment) for early Years children with fewer children scoring ‘red.’ Children’s development, as evidenced by the on-line Learning Journey, Tapestry, demonstrates good progress from starting points. Completion of Early Help Assessments</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7EE5F738" w:rsidR="00E66558" w:rsidRPr="006201EB" w:rsidRDefault="000352E5" w:rsidP="00C31636">
            <w:pPr>
              <w:pStyle w:val="TableRow"/>
              <w:ind w:left="0" w:right="0"/>
              <w:rPr>
                <w:sz w:val="22"/>
                <w:szCs w:val="22"/>
              </w:rPr>
            </w:pPr>
            <w:r w:rsidRPr="006201EB">
              <w:rPr>
                <w:sz w:val="22"/>
                <w:szCs w:val="22"/>
              </w:rPr>
              <w:t>Children’s independence, both academically and in their behaviours for learning improves. Children self-regulate well.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2828DED4" w:rsidR="00E66558" w:rsidRPr="006201EB" w:rsidRDefault="006201EB" w:rsidP="00C31636">
            <w:pPr>
              <w:pStyle w:val="TableRowCentered"/>
              <w:ind w:left="0" w:right="0"/>
              <w:jc w:val="left"/>
              <w:rPr>
                <w:sz w:val="22"/>
                <w:szCs w:val="22"/>
              </w:rPr>
            </w:pPr>
            <w:r w:rsidRPr="006201EB">
              <w:rPr>
                <w:sz w:val="22"/>
                <w:szCs w:val="22"/>
              </w:rPr>
              <w:t>Lesson observation, pupil voice, book scrutiny demonstrate that disadvantaged children are accessing prior learning, engaging with teacher modelling and scaffolding in order to independently apply during learning, resulting in better academic outcomes</w:t>
            </w:r>
          </w:p>
        </w:tc>
      </w:tr>
      <w:tr w:rsidR="006201EB" w14:paraId="1E213C33"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20844" w14:textId="634EEEE7" w:rsidR="006201EB" w:rsidRPr="006201EB" w:rsidRDefault="006201EB" w:rsidP="00C31636">
            <w:pPr>
              <w:pStyle w:val="TableRow"/>
              <w:ind w:left="0" w:right="0"/>
              <w:rPr>
                <w:sz w:val="22"/>
                <w:szCs w:val="22"/>
              </w:rPr>
            </w:pPr>
            <w:r w:rsidRPr="006201EB">
              <w:rPr>
                <w:sz w:val="22"/>
                <w:szCs w:val="22"/>
              </w:rPr>
              <w:t>Improved punctuality and attendance for target disadvantaged learners.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3EB92" w14:textId="799CD0EE" w:rsidR="006201EB" w:rsidRPr="006201EB" w:rsidRDefault="006201EB" w:rsidP="00C31636">
            <w:pPr>
              <w:pStyle w:val="TableRowCentered"/>
              <w:ind w:left="0" w:right="0"/>
              <w:jc w:val="left"/>
              <w:rPr>
                <w:sz w:val="22"/>
                <w:szCs w:val="22"/>
              </w:rPr>
            </w:pPr>
            <w:r w:rsidRPr="006201EB">
              <w:rPr>
                <w:sz w:val="22"/>
                <w:szCs w:val="22"/>
              </w:rPr>
              <w:t>Attendance continues to improve with the gap between non-disadvantaged peers closing with the disadvantaged group. Attendance remains, at least, in-line with national expectations. Fewer persistent absent children.</w:t>
            </w:r>
          </w:p>
        </w:tc>
      </w:tr>
      <w:tr w:rsidR="006201EB" w14:paraId="2B6C146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38242" w14:textId="271C6B0A" w:rsidR="006201EB" w:rsidRPr="006201EB" w:rsidRDefault="006201EB" w:rsidP="00C31636">
            <w:pPr>
              <w:pStyle w:val="TableRow"/>
              <w:ind w:left="0" w:right="0"/>
              <w:rPr>
                <w:sz w:val="22"/>
                <w:szCs w:val="22"/>
              </w:rPr>
            </w:pPr>
            <w:r w:rsidRPr="006201EB">
              <w:rPr>
                <w:sz w:val="22"/>
                <w:szCs w:val="22"/>
              </w:rPr>
              <w:t>Improved academic outcomes for the disadvantaged target group.</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8D8A5" w14:textId="6D19332E" w:rsidR="006201EB" w:rsidRPr="006201EB" w:rsidRDefault="006201EB" w:rsidP="00C31636">
            <w:pPr>
              <w:pStyle w:val="TableRowCentered"/>
              <w:ind w:left="0" w:right="0"/>
              <w:jc w:val="left"/>
              <w:rPr>
                <w:sz w:val="22"/>
                <w:szCs w:val="22"/>
              </w:rPr>
            </w:pPr>
            <w:r w:rsidRPr="006201EB">
              <w:rPr>
                <w:sz w:val="22"/>
                <w:szCs w:val="22"/>
              </w:rPr>
              <w:t>Measured accelerated progress from autumn term baseline measures. Children at least in-line with national averages by the end of KS1 and KS2. By the end of reception children have made accelerated progress from their baseline. The gap with national averages is closing and no more than 15% for disadvantaged learners. Accelerated progress for children receiving tutoring.</w:t>
            </w:r>
          </w:p>
        </w:tc>
      </w:tr>
    </w:tbl>
    <w:p w14:paraId="60BAD9F6" w14:textId="77777777" w:rsidR="00120AB1" w:rsidRDefault="00120AB1" w:rsidP="00ED5108"/>
    <w:p w14:paraId="2A7D5512" w14:textId="1BCD0F1A" w:rsidR="00E66558" w:rsidRDefault="006201EB">
      <w:pPr>
        <w:pStyle w:val="Heading2"/>
      </w:pPr>
      <w:r>
        <w:t>A</w:t>
      </w:r>
      <w:r w:rsidR="009D71E8">
        <w:t>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4C634546" w:rsidR="00E66558" w:rsidRDefault="009D71E8">
      <w:r>
        <w:t xml:space="preserve">Budgeted cost: £ </w:t>
      </w:r>
      <w:r w:rsidR="008F216E">
        <w:t>35,988</w:t>
      </w:r>
    </w:p>
    <w:tbl>
      <w:tblPr>
        <w:tblW w:w="5000" w:type="pct"/>
        <w:tblCellMar>
          <w:left w:w="10" w:type="dxa"/>
          <w:right w:w="10" w:type="dxa"/>
        </w:tblCellMar>
        <w:tblLook w:val="04A0" w:firstRow="1" w:lastRow="0" w:firstColumn="1" w:lastColumn="0" w:noHBand="0" w:noVBand="1"/>
      </w:tblPr>
      <w:tblGrid>
        <w:gridCol w:w="1994"/>
        <w:gridCol w:w="5757"/>
        <w:gridCol w:w="1735"/>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4233F175" w:rsidR="00E66558" w:rsidRPr="006201EB" w:rsidRDefault="006201EB" w:rsidP="00C31636">
            <w:pPr>
              <w:pStyle w:val="TableRow"/>
              <w:ind w:left="0" w:right="0"/>
              <w:rPr>
                <w:sz w:val="22"/>
                <w:szCs w:val="22"/>
              </w:rPr>
            </w:pPr>
            <w:r w:rsidRPr="006201EB">
              <w:rPr>
                <w:sz w:val="22"/>
                <w:szCs w:val="22"/>
              </w:rPr>
              <w:t>SENCo to support CPD and specialist knowledge for mainstream teachers to ensure all pupils can access the best teaching.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EC496" w14:textId="77777777" w:rsidR="006201EB" w:rsidRPr="006201EB" w:rsidRDefault="006201EB" w:rsidP="00C31636">
            <w:pPr>
              <w:pStyle w:val="TableRowCentered"/>
              <w:ind w:left="0" w:right="0"/>
              <w:jc w:val="left"/>
              <w:rPr>
                <w:sz w:val="22"/>
                <w:szCs w:val="22"/>
              </w:rPr>
            </w:pPr>
            <w:r w:rsidRPr="006201EB">
              <w:rPr>
                <w:sz w:val="22"/>
                <w:szCs w:val="22"/>
              </w:rPr>
              <w:t xml:space="preserve">Pupils with Special Educational Needs and Disability (SEND) have the greatest need for excellent teaching and are entitled to provision that supports achievement at, and enjoyment of, school. The attainment gap between pupils with SEND and their peers is twice as big as the gap between pupils eligible for free schools meals and their peers. However, pupils with SEND are also more than twice as likely to be eligible for free school meals. </w:t>
            </w:r>
          </w:p>
          <w:p w14:paraId="7578CD52" w14:textId="469F9FAD" w:rsidR="00E66558" w:rsidRPr="006201EB" w:rsidRDefault="00F9062B" w:rsidP="00C31636">
            <w:pPr>
              <w:pStyle w:val="TableRowCentered"/>
              <w:ind w:left="0" w:right="0"/>
              <w:jc w:val="left"/>
              <w:rPr>
                <w:sz w:val="22"/>
                <w:szCs w:val="22"/>
              </w:rPr>
            </w:pPr>
            <w:hyperlink r:id="rId7" w:history="1">
              <w:r w:rsidR="006201EB" w:rsidRPr="006201EB">
                <w:rPr>
                  <w:rStyle w:val="Hyperlink"/>
                  <w:sz w:val="22"/>
                  <w:szCs w:val="22"/>
                </w:rPr>
                <w:t>https://educationendowmentfoundation.org.uk/education-evidence/guidance-reports/send</w:t>
              </w:r>
            </w:hyperlink>
          </w:p>
          <w:p w14:paraId="2A7D551B" w14:textId="3376F3EE" w:rsidR="006201EB" w:rsidRPr="006201EB" w:rsidRDefault="006201EB" w:rsidP="00C31636">
            <w:pPr>
              <w:pStyle w:val="TableRowCentered"/>
              <w:ind w:left="0" w:right="0"/>
              <w:jc w:val="left"/>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23D1B263" w:rsidR="00E66558" w:rsidRPr="006201EB" w:rsidRDefault="006201EB" w:rsidP="00C31636">
            <w:pPr>
              <w:pStyle w:val="TableRowCentered"/>
              <w:ind w:left="0" w:right="0"/>
              <w:jc w:val="left"/>
              <w:rPr>
                <w:sz w:val="22"/>
                <w:szCs w:val="22"/>
              </w:rPr>
            </w:pPr>
            <w:r w:rsidRPr="006201EB">
              <w:rPr>
                <w:sz w:val="22"/>
                <w:szCs w:val="22"/>
              </w:rPr>
              <w:t>1, 3, 6</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555BEF1E" w:rsidR="00E66558" w:rsidRPr="006201EB" w:rsidRDefault="006201EB" w:rsidP="006201EB">
            <w:pPr>
              <w:pStyle w:val="TableRow"/>
              <w:ind w:left="0" w:right="0"/>
              <w:rPr>
                <w:sz w:val="22"/>
                <w:szCs w:val="22"/>
              </w:rPr>
            </w:pPr>
            <w:r w:rsidRPr="006201EB">
              <w:rPr>
                <w:sz w:val="22"/>
                <w:szCs w:val="22"/>
              </w:rPr>
              <w:t xml:space="preserve">Implementation of an Oracy curriculum and access to staff CPD via Voice 21 Development and Consultancy Days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7197D" w14:textId="186714BD" w:rsidR="00E66558" w:rsidRPr="006201EB" w:rsidRDefault="006201EB" w:rsidP="00C31636">
            <w:pPr>
              <w:pStyle w:val="TableRowCentered"/>
              <w:ind w:left="0" w:right="0"/>
              <w:jc w:val="left"/>
              <w:rPr>
                <w:sz w:val="22"/>
                <w:szCs w:val="22"/>
              </w:rPr>
            </w:pPr>
            <w:r w:rsidRPr="006201EB">
              <w:rPr>
                <w:sz w:val="22"/>
                <w:szCs w:val="22"/>
              </w:rPr>
              <w:t xml:space="preserve">Voice 21 uses an oracy-focused approach to boost outcomes for Pupil Premium children, helping them build confidence, improve engagement, and raise attainment. </w:t>
            </w:r>
            <w:hyperlink r:id="rId8" w:history="1">
              <w:r w:rsidRPr="006201EB">
                <w:rPr>
                  <w:rStyle w:val="Hyperlink"/>
                  <w:sz w:val="22"/>
                  <w:szCs w:val="22"/>
                </w:rPr>
                <w:t>https://voice21.org/</w:t>
              </w:r>
            </w:hyperlink>
          </w:p>
          <w:p w14:paraId="4D195014" w14:textId="77777777" w:rsidR="006201EB" w:rsidRPr="006201EB" w:rsidRDefault="006201EB" w:rsidP="00C31636">
            <w:pPr>
              <w:pStyle w:val="TableRowCentered"/>
              <w:ind w:left="0" w:right="0"/>
              <w:jc w:val="left"/>
              <w:rPr>
                <w:sz w:val="22"/>
                <w:szCs w:val="22"/>
              </w:rPr>
            </w:pPr>
          </w:p>
          <w:p w14:paraId="5F28C9A0" w14:textId="7812BE84" w:rsidR="006201EB" w:rsidRPr="006201EB" w:rsidRDefault="00F9062B" w:rsidP="00C31636">
            <w:pPr>
              <w:pStyle w:val="TableRowCentered"/>
              <w:ind w:left="0" w:right="0"/>
              <w:jc w:val="left"/>
              <w:rPr>
                <w:sz w:val="22"/>
                <w:szCs w:val="22"/>
              </w:rPr>
            </w:pPr>
            <w:hyperlink r:id="rId9" w:history="1">
              <w:r w:rsidR="006201EB" w:rsidRPr="006201EB">
                <w:rPr>
                  <w:rStyle w:val="Hyperlink"/>
                  <w:sz w:val="22"/>
                  <w:szCs w:val="22"/>
                </w:rPr>
                <w:t>https://educationendowmentfoundation.org.uk/education-evidence/teaching-learning-toolkit/oral-language-interventions</w:t>
              </w:r>
            </w:hyperlink>
          </w:p>
          <w:p w14:paraId="2A7D551F" w14:textId="455168A8" w:rsidR="006201EB" w:rsidRPr="006201EB" w:rsidRDefault="006201EB" w:rsidP="00C31636">
            <w:pPr>
              <w:pStyle w:val="TableRowCentered"/>
              <w:ind w:left="0" w:right="0"/>
              <w:jc w:val="left"/>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62600D0C" w:rsidR="00E66558" w:rsidRPr="006201EB" w:rsidRDefault="006201EB" w:rsidP="00C31636">
            <w:pPr>
              <w:pStyle w:val="TableRowCentered"/>
              <w:ind w:left="0" w:right="0"/>
              <w:jc w:val="left"/>
              <w:rPr>
                <w:sz w:val="22"/>
                <w:szCs w:val="22"/>
              </w:rPr>
            </w:pPr>
            <w:r w:rsidRPr="006201EB">
              <w:rPr>
                <w:sz w:val="22"/>
                <w:szCs w:val="22"/>
              </w:rPr>
              <w:t>1, 6</w:t>
            </w:r>
          </w:p>
        </w:tc>
      </w:tr>
      <w:tr w:rsidR="006201EB" w14:paraId="03297E8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07306" w14:textId="49D28B58" w:rsidR="006201EB" w:rsidRPr="006201EB" w:rsidRDefault="006201EB" w:rsidP="006201EB">
            <w:pPr>
              <w:pStyle w:val="TableRow"/>
              <w:ind w:left="0" w:right="0"/>
              <w:rPr>
                <w:sz w:val="22"/>
                <w:szCs w:val="22"/>
              </w:rPr>
            </w:pPr>
            <w:r w:rsidRPr="006201EB">
              <w:rPr>
                <w:sz w:val="22"/>
                <w:szCs w:val="22"/>
              </w:rPr>
              <w:t>Reducing the staff to pupil ratios in Early Years by employing additional support staff in Barlow Bears, nursery and reception. This will enable us to deliver better and more frequent communication and language approaches.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6F3A7" w14:textId="77777777" w:rsidR="006201EB" w:rsidRPr="006201EB" w:rsidRDefault="006201EB" w:rsidP="006201EB">
            <w:pPr>
              <w:pStyle w:val="TableRowCentered"/>
              <w:ind w:left="0" w:right="0"/>
              <w:jc w:val="left"/>
              <w:rPr>
                <w:sz w:val="22"/>
                <w:szCs w:val="22"/>
              </w:rPr>
            </w:pPr>
            <w:r w:rsidRPr="006201EB">
              <w:rPr>
                <w:sz w:val="22"/>
                <w:szCs w:val="22"/>
              </w:rPr>
              <w:t xml:space="preserve">Ratios reduced in nursery.  Additional support in Barlow Bears. </w:t>
            </w:r>
          </w:p>
          <w:p w14:paraId="0FED13AC" w14:textId="77777777" w:rsidR="006201EB" w:rsidRPr="006201EB" w:rsidRDefault="006201EB" w:rsidP="006201EB">
            <w:pPr>
              <w:pStyle w:val="TableRowCentered"/>
              <w:ind w:left="0" w:right="0"/>
              <w:jc w:val="left"/>
              <w:rPr>
                <w:sz w:val="22"/>
                <w:szCs w:val="22"/>
              </w:rPr>
            </w:pPr>
            <w:r w:rsidRPr="006201EB">
              <w:rPr>
                <w:sz w:val="22"/>
                <w:szCs w:val="22"/>
              </w:rPr>
              <w:t xml:space="preserve">This approach enables better prioritisation of development of communication and language and embeds opportunities to develop self-regulation. Staff will continue to receive professional development to support phase improvements, in conjunction with professional support from Speech and Language therapist and Occupational Therapist. This will be measured by external QA termly. </w:t>
            </w:r>
          </w:p>
          <w:p w14:paraId="2CD2ADFF" w14:textId="78098CAC" w:rsidR="006201EB" w:rsidRPr="006201EB" w:rsidRDefault="00F9062B" w:rsidP="006201EB">
            <w:pPr>
              <w:pStyle w:val="TableRowCentered"/>
              <w:ind w:left="0" w:right="0"/>
              <w:jc w:val="left"/>
              <w:rPr>
                <w:sz w:val="22"/>
                <w:szCs w:val="22"/>
              </w:rPr>
            </w:pPr>
            <w:hyperlink r:id="rId10" w:history="1">
              <w:r w:rsidR="006201EB" w:rsidRPr="006201EB">
                <w:rPr>
                  <w:rStyle w:val="Hyperlink"/>
                  <w:sz w:val="22"/>
                  <w:szCs w:val="22"/>
                </w:rPr>
                <w:t>https://educationendowmentfoundation.org.uk/education-evidence/guidance-reports/literacy-early-years</w:t>
              </w:r>
            </w:hyperlink>
            <w:r w:rsidR="006201EB" w:rsidRPr="006201EB">
              <w:rPr>
                <w:sz w:val="22"/>
                <w:szCs w:val="22"/>
              </w:rPr>
              <w:t xml:space="preserve"> </w:t>
            </w:r>
          </w:p>
          <w:p w14:paraId="0490A410" w14:textId="77777777" w:rsidR="006201EB" w:rsidRPr="006201EB" w:rsidRDefault="006201EB" w:rsidP="006201EB">
            <w:pPr>
              <w:pStyle w:val="TableRowCentered"/>
              <w:ind w:left="0" w:right="0"/>
              <w:jc w:val="left"/>
              <w:rPr>
                <w:sz w:val="22"/>
                <w:szCs w:val="22"/>
              </w:rPr>
            </w:pPr>
          </w:p>
          <w:p w14:paraId="482976C2" w14:textId="78703AE7" w:rsidR="006201EB" w:rsidRPr="006201EB" w:rsidRDefault="006201EB" w:rsidP="006201EB">
            <w:pPr>
              <w:pStyle w:val="TableRowCentered"/>
              <w:ind w:left="0" w:right="0"/>
              <w:jc w:val="left"/>
              <w:rPr>
                <w:sz w:val="22"/>
                <w:szCs w:val="22"/>
              </w:rPr>
            </w:pPr>
            <w:r w:rsidRPr="006201EB">
              <w:rPr>
                <w:sz w:val="22"/>
                <w:szCs w:val="22"/>
              </w:rPr>
              <w:t>This approach will also support our approaches to school readiness.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DD88C" w14:textId="5B5038A3" w:rsidR="006201EB" w:rsidRPr="006201EB" w:rsidRDefault="006201EB" w:rsidP="00C31636">
            <w:pPr>
              <w:pStyle w:val="TableRowCentered"/>
              <w:ind w:left="0" w:right="0"/>
              <w:jc w:val="left"/>
              <w:rPr>
                <w:sz w:val="22"/>
                <w:szCs w:val="22"/>
              </w:rPr>
            </w:pPr>
            <w:r w:rsidRPr="006201EB">
              <w:rPr>
                <w:sz w:val="22"/>
                <w:szCs w:val="22"/>
              </w:rPr>
              <w:t>1, 2, 3</w:t>
            </w:r>
          </w:p>
        </w:tc>
      </w:tr>
      <w:tr w:rsidR="006201EB" w14:paraId="03F2CDB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95444" w14:textId="54F2B8F2" w:rsidR="006201EB" w:rsidRPr="006201EB" w:rsidRDefault="006201EB" w:rsidP="006201EB">
            <w:pPr>
              <w:pStyle w:val="TableRow"/>
              <w:ind w:left="0" w:right="0"/>
              <w:rPr>
                <w:sz w:val="22"/>
                <w:szCs w:val="22"/>
              </w:rPr>
            </w:pPr>
            <w:r>
              <w:rPr>
                <w:sz w:val="22"/>
                <w:szCs w:val="22"/>
              </w:rPr>
              <w:t>Improve outcomes for disadvantaged pupils in Reception and Year 1 writing through EEF project The Write Beginnings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CF534" w14:textId="77777777" w:rsidR="006201EB" w:rsidRDefault="006201EB" w:rsidP="006201EB">
            <w:pPr>
              <w:pStyle w:val="TableRowCentered"/>
              <w:ind w:left="0" w:right="0"/>
              <w:jc w:val="left"/>
              <w:rPr>
                <w:sz w:val="22"/>
                <w:szCs w:val="22"/>
              </w:rPr>
            </w:pPr>
            <w:r>
              <w:rPr>
                <w:sz w:val="22"/>
                <w:szCs w:val="22"/>
              </w:rPr>
              <w:t>Barlow Hall participates in The Write Beginnings in conjunction with the EEF and Manchester Research School, focus on improving writing outcomes for disadvantaged pupils in Reception and Year 1.</w:t>
            </w:r>
          </w:p>
          <w:p w14:paraId="13DBFA38" w14:textId="77777777" w:rsidR="00FA4264" w:rsidRDefault="00FA4264" w:rsidP="006201EB">
            <w:pPr>
              <w:pStyle w:val="TableRowCentered"/>
              <w:ind w:left="0" w:right="0"/>
              <w:jc w:val="left"/>
              <w:rPr>
                <w:sz w:val="22"/>
                <w:szCs w:val="22"/>
              </w:rPr>
            </w:pPr>
          </w:p>
          <w:p w14:paraId="3E428314" w14:textId="4771A285" w:rsidR="00FA4264" w:rsidRPr="006201EB" w:rsidRDefault="00FA4264" w:rsidP="006201EB">
            <w:pPr>
              <w:pStyle w:val="TableRowCentered"/>
              <w:ind w:left="0" w:right="0"/>
              <w:jc w:val="left"/>
              <w:rPr>
                <w:sz w:val="22"/>
                <w:szCs w:val="22"/>
              </w:rPr>
            </w:pPr>
            <w:r>
              <w:rPr>
                <w:sz w:val="22"/>
                <w:szCs w:val="22"/>
              </w:rPr>
              <w:t>Release time for staff and senior leaders to attend development days, cluster meetings and develop implementation plan to disseminate CPD to all teaching staff to impact wider cohort of our disadvantaged pupils across other year groups.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B6FF5" w14:textId="0B54A85F" w:rsidR="006201EB" w:rsidRPr="006201EB" w:rsidRDefault="00FA4264" w:rsidP="00C31636">
            <w:pPr>
              <w:pStyle w:val="TableRowCentered"/>
              <w:ind w:left="0" w:right="0"/>
              <w:jc w:val="left"/>
              <w:rPr>
                <w:sz w:val="22"/>
                <w:szCs w:val="22"/>
              </w:rPr>
            </w:pPr>
            <w:r>
              <w:rPr>
                <w:sz w:val="22"/>
                <w:szCs w:val="22"/>
              </w:rPr>
              <w:t>1, 6</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1C85F98D" w:rsidR="00E66558" w:rsidRDefault="008F216E">
      <w:r>
        <w:t>Budgeted cost: £17,355</w:t>
      </w:r>
    </w:p>
    <w:tbl>
      <w:tblPr>
        <w:tblW w:w="5000" w:type="pct"/>
        <w:tblCellMar>
          <w:left w:w="10" w:type="dxa"/>
          <w:right w:w="10" w:type="dxa"/>
        </w:tblCellMar>
        <w:tblLook w:val="04A0" w:firstRow="1" w:lastRow="0" w:firstColumn="1" w:lastColumn="0" w:noHBand="0" w:noVBand="1"/>
      </w:tblPr>
      <w:tblGrid>
        <w:gridCol w:w="1729"/>
        <w:gridCol w:w="6261"/>
        <w:gridCol w:w="1496"/>
      </w:tblGrid>
      <w:tr w:rsidR="00E66558" w14:paraId="2A7D5528" w14:textId="77777777" w:rsidTr="00FA4264">
        <w:tc>
          <w:tcPr>
            <w:tcW w:w="172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626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149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FA4264" w14:paraId="2A7D552C" w14:textId="77777777" w:rsidTr="00FA4264">
        <w:tc>
          <w:tcPr>
            <w:tcW w:w="1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0544F" w14:textId="77777777" w:rsidR="00FA4264" w:rsidRPr="00FA4264" w:rsidRDefault="00FA4264" w:rsidP="00C31636">
            <w:pPr>
              <w:pStyle w:val="TableRow"/>
              <w:ind w:left="0" w:right="0"/>
              <w:rPr>
                <w:sz w:val="22"/>
                <w:szCs w:val="22"/>
              </w:rPr>
            </w:pPr>
            <w:r w:rsidRPr="00FA4264">
              <w:rPr>
                <w:sz w:val="22"/>
                <w:szCs w:val="22"/>
              </w:rPr>
              <w:t xml:space="preserve">TA intervention small group </w:t>
            </w:r>
          </w:p>
          <w:p w14:paraId="2A7D5529" w14:textId="5B32A0D1" w:rsidR="00FA4264" w:rsidRPr="00FA4264" w:rsidRDefault="00FA4264" w:rsidP="00C31636">
            <w:pPr>
              <w:pStyle w:val="TableRow"/>
              <w:ind w:left="0" w:right="0"/>
              <w:rPr>
                <w:sz w:val="22"/>
                <w:szCs w:val="22"/>
              </w:rPr>
            </w:pPr>
            <w:r w:rsidRPr="00FA4264">
              <w:rPr>
                <w:color w:val="FF0000"/>
                <w:sz w:val="22"/>
                <w:szCs w:val="22"/>
              </w:rPr>
              <w:t>EEF research individualised instruction +4</w:t>
            </w:r>
          </w:p>
        </w:tc>
        <w:tc>
          <w:tcPr>
            <w:tcW w:w="626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3154C60" w14:textId="77777777" w:rsidR="00FA4264" w:rsidRPr="00FA4264" w:rsidRDefault="00FA4264" w:rsidP="00C31636">
            <w:pPr>
              <w:pStyle w:val="TableRowCentered"/>
              <w:ind w:left="0" w:right="0"/>
              <w:jc w:val="left"/>
              <w:rPr>
                <w:sz w:val="22"/>
                <w:szCs w:val="22"/>
              </w:rPr>
            </w:pPr>
            <w:r w:rsidRPr="00FA4264">
              <w:rPr>
                <w:sz w:val="22"/>
                <w:szCs w:val="22"/>
              </w:rPr>
              <w:t xml:space="preserve">Tutoring and small group is one of the most effective tools for disadvantaged and vulnerable pupils to make accelerated progress. This is likely linked to pupils receiving more feedback, being more engaged and completing work tailored to their specific needs. Tutoring can also help pupils to build resilience. Research by the Education Endowment Foundation (EEF) and National Foundation for Educational Research shows that individual tuition builds pupils’ confidence and provides opportunities for staff to identify areas requiring specialist support. Many pupils find that tutoring offers a safe space to talk about concepts they have struggled with in the classroom. </w:t>
            </w:r>
          </w:p>
          <w:p w14:paraId="2A7D552A" w14:textId="22B6D245" w:rsidR="00FA4264" w:rsidRPr="00FA4264" w:rsidRDefault="00FA4264" w:rsidP="00C31636">
            <w:pPr>
              <w:pStyle w:val="TableRowCentered"/>
              <w:ind w:left="0" w:right="0"/>
              <w:jc w:val="left"/>
              <w:rPr>
                <w:sz w:val="22"/>
                <w:szCs w:val="22"/>
              </w:rPr>
            </w:pPr>
            <w:r w:rsidRPr="00FA4264">
              <w:rPr>
                <w:sz w:val="22"/>
                <w:szCs w:val="22"/>
              </w:rPr>
              <w:t xml:space="preserve">https://educationendowmentfoundation.org.uk/education-evidence/teaching-learningtoolkit/small-group-tuition </w:t>
            </w:r>
            <w:hyperlink r:id="rId11" w:history="1">
              <w:r w:rsidRPr="001C2FAA">
                <w:rPr>
                  <w:rStyle w:val="Hyperlink"/>
                  <w:sz w:val="22"/>
                  <w:szCs w:val="22"/>
                </w:rPr>
                <w:t>https://www.nfer.ac.uk/media/1700/eftr05.pdf</w:t>
              </w:r>
            </w:hyperlink>
            <w:r>
              <w:rPr>
                <w:sz w:val="22"/>
                <w:szCs w:val="22"/>
              </w:rPr>
              <w:t xml:space="preserve"> </w:t>
            </w:r>
          </w:p>
        </w:tc>
        <w:tc>
          <w:tcPr>
            <w:tcW w:w="14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A7D552B" w14:textId="359174B2" w:rsidR="00FA4264" w:rsidRPr="00FA4264" w:rsidRDefault="00FA4264" w:rsidP="00C31636">
            <w:pPr>
              <w:pStyle w:val="TableRowCentered"/>
              <w:ind w:left="0" w:right="0"/>
              <w:jc w:val="left"/>
              <w:rPr>
                <w:sz w:val="22"/>
                <w:szCs w:val="22"/>
              </w:rPr>
            </w:pPr>
            <w:r w:rsidRPr="00FA4264">
              <w:rPr>
                <w:sz w:val="22"/>
                <w:szCs w:val="22"/>
              </w:rPr>
              <w:t>1, 6</w:t>
            </w:r>
          </w:p>
        </w:tc>
      </w:tr>
      <w:tr w:rsidR="00FA4264" w14:paraId="2A7D5530" w14:textId="77777777" w:rsidTr="00FA4264">
        <w:tc>
          <w:tcPr>
            <w:tcW w:w="1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F2C3" w14:textId="3F9EFAA5" w:rsidR="00FA4264" w:rsidRDefault="00FA4264" w:rsidP="00C31636">
            <w:pPr>
              <w:pStyle w:val="TableRow"/>
              <w:ind w:left="0" w:right="0"/>
              <w:rPr>
                <w:sz w:val="22"/>
                <w:szCs w:val="22"/>
              </w:rPr>
            </w:pPr>
            <w:r w:rsidRPr="00FA4264">
              <w:rPr>
                <w:sz w:val="22"/>
                <w:szCs w:val="22"/>
              </w:rPr>
              <w:t xml:space="preserve">Inference Tutor group for children in Y4, 5 and 6. </w:t>
            </w:r>
          </w:p>
          <w:p w14:paraId="2A7D552D" w14:textId="7A378698" w:rsidR="00FA4264" w:rsidRPr="00FA4264" w:rsidRDefault="00FA4264" w:rsidP="00C31636">
            <w:pPr>
              <w:pStyle w:val="TableRow"/>
              <w:ind w:left="0" w:right="0"/>
              <w:rPr>
                <w:i/>
                <w:sz w:val="22"/>
                <w:szCs w:val="22"/>
              </w:rPr>
            </w:pPr>
            <w:r w:rsidRPr="00FA4264">
              <w:rPr>
                <w:color w:val="FF0000"/>
                <w:sz w:val="22"/>
                <w:szCs w:val="22"/>
              </w:rPr>
              <w:t>EEF research reading comprehension strategies +6</w:t>
            </w:r>
          </w:p>
        </w:tc>
        <w:tc>
          <w:tcPr>
            <w:tcW w:w="626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77777777" w:rsidR="00FA4264" w:rsidRDefault="00FA4264" w:rsidP="00C31636">
            <w:pPr>
              <w:pStyle w:val="TableRowCentered"/>
              <w:ind w:left="0" w:right="0"/>
              <w:jc w:val="left"/>
              <w:rPr>
                <w:sz w:val="22"/>
              </w:rPr>
            </w:pPr>
          </w:p>
        </w:tc>
        <w:tc>
          <w:tcPr>
            <w:tcW w:w="14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77777777" w:rsidR="00FA4264" w:rsidRDefault="00FA4264" w:rsidP="00C31636">
            <w:pPr>
              <w:pStyle w:val="TableRowCentered"/>
              <w:ind w:left="0" w:right="0"/>
              <w:jc w:val="left"/>
              <w:rPr>
                <w:sz w:val="22"/>
              </w:rPr>
            </w:pP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7DE24ED3" w:rsidR="00E66558" w:rsidRDefault="009D71E8">
      <w:pPr>
        <w:spacing w:before="240" w:after="120"/>
      </w:pPr>
      <w:r>
        <w:t>Budgeted cost: £</w:t>
      </w:r>
      <w:r w:rsidR="008F216E" w:rsidRPr="008F216E">
        <w:rPr>
          <w:iCs/>
        </w:rPr>
        <w:t>135,720</w:t>
      </w:r>
    </w:p>
    <w:tbl>
      <w:tblPr>
        <w:tblW w:w="5000" w:type="pct"/>
        <w:tblCellMar>
          <w:left w:w="10" w:type="dxa"/>
          <w:right w:w="10" w:type="dxa"/>
        </w:tblCellMar>
        <w:tblLook w:val="04A0" w:firstRow="1" w:lastRow="0" w:firstColumn="1" w:lastColumn="0" w:noHBand="0" w:noVBand="1"/>
      </w:tblPr>
      <w:tblGrid>
        <w:gridCol w:w="2003"/>
        <w:gridCol w:w="5757"/>
        <w:gridCol w:w="1726"/>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09778" w14:textId="77777777" w:rsidR="00FA4264" w:rsidRPr="00FA4264" w:rsidRDefault="00FA4264" w:rsidP="00C31636">
            <w:pPr>
              <w:pStyle w:val="TableRow"/>
              <w:ind w:left="0" w:right="0"/>
              <w:rPr>
                <w:sz w:val="22"/>
                <w:szCs w:val="22"/>
              </w:rPr>
            </w:pPr>
            <w:r w:rsidRPr="00FA4264">
              <w:rPr>
                <w:sz w:val="22"/>
                <w:szCs w:val="22"/>
              </w:rPr>
              <w:t xml:space="preserve">Two full time Learning Mentors who deliver the strategies that remove barriers to learning including: Social and emotional behavioural approaches and Self-regulation. The effective use of Barlow Hall’s LM interventions, alongside good teaching has been powerful ways to raise pupil attainment. </w:t>
            </w:r>
          </w:p>
          <w:p w14:paraId="3FEB8680" w14:textId="77777777" w:rsidR="00FA4264" w:rsidRPr="00FA4264" w:rsidRDefault="00FA4264" w:rsidP="00C31636">
            <w:pPr>
              <w:pStyle w:val="TableRow"/>
              <w:ind w:left="0" w:right="0"/>
              <w:rPr>
                <w:sz w:val="22"/>
                <w:szCs w:val="22"/>
              </w:rPr>
            </w:pPr>
          </w:p>
          <w:p w14:paraId="06D68828" w14:textId="77777777" w:rsidR="00FA4264" w:rsidRPr="00FA4264" w:rsidRDefault="00FA4264" w:rsidP="00C31636">
            <w:pPr>
              <w:pStyle w:val="TableRow"/>
              <w:ind w:left="0" w:right="0"/>
              <w:rPr>
                <w:color w:val="FF0000"/>
                <w:sz w:val="22"/>
                <w:szCs w:val="22"/>
              </w:rPr>
            </w:pPr>
            <w:r w:rsidRPr="00FA4264">
              <w:rPr>
                <w:color w:val="FF0000"/>
                <w:sz w:val="22"/>
                <w:szCs w:val="22"/>
              </w:rPr>
              <w:t xml:space="preserve">EEF research Social and emotional learning +4 </w:t>
            </w:r>
          </w:p>
          <w:p w14:paraId="2A7D5538" w14:textId="052F68DD" w:rsidR="00E66558" w:rsidRPr="00FA4264" w:rsidRDefault="00FA4264" w:rsidP="00C31636">
            <w:pPr>
              <w:pStyle w:val="TableRow"/>
              <w:ind w:left="0" w:right="0"/>
              <w:rPr>
                <w:sz w:val="22"/>
                <w:szCs w:val="22"/>
              </w:rPr>
            </w:pPr>
            <w:r w:rsidRPr="00FA4264">
              <w:rPr>
                <w:color w:val="FF0000"/>
                <w:sz w:val="22"/>
                <w:szCs w:val="22"/>
              </w:rPr>
              <w:t>Metacognition and self regulation +7</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FB42A" w14:textId="77777777" w:rsidR="00FA4264" w:rsidRPr="00FA4264" w:rsidRDefault="00FA4264" w:rsidP="00C31636">
            <w:pPr>
              <w:pStyle w:val="TableRowCentered"/>
              <w:ind w:left="0" w:right="0"/>
              <w:jc w:val="left"/>
              <w:rPr>
                <w:sz w:val="22"/>
                <w:szCs w:val="22"/>
              </w:rPr>
            </w:pPr>
            <w:r w:rsidRPr="00FA4264">
              <w:rPr>
                <w:sz w:val="22"/>
                <w:szCs w:val="22"/>
              </w:rPr>
              <w:t xml:space="preserve">Our Learning Mentors complement the focus and activities of other staff by developing intervention supporting learning behaviours that support effective learning in a group and classroom setting. </w:t>
            </w:r>
          </w:p>
          <w:p w14:paraId="25996087" w14:textId="77777777" w:rsidR="00FA4264" w:rsidRPr="00FA4264" w:rsidRDefault="00FA4264" w:rsidP="00C31636">
            <w:pPr>
              <w:pStyle w:val="TableRowCentered"/>
              <w:ind w:left="0" w:right="0"/>
              <w:jc w:val="left"/>
              <w:rPr>
                <w:sz w:val="22"/>
                <w:szCs w:val="22"/>
              </w:rPr>
            </w:pPr>
          </w:p>
          <w:p w14:paraId="4A93F21B" w14:textId="77777777" w:rsidR="00FA4264" w:rsidRPr="00FA4264" w:rsidRDefault="00FA4264" w:rsidP="00C31636">
            <w:pPr>
              <w:pStyle w:val="TableRowCentered"/>
              <w:ind w:left="0" w:right="0"/>
              <w:jc w:val="left"/>
              <w:rPr>
                <w:sz w:val="22"/>
                <w:szCs w:val="22"/>
              </w:rPr>
            </w:pPr>
            <w:r w:rsidRPr="00FA4264">
              <w:rPr>
                <w:sz w:val="22"/>
                <w:szCs w:val="22"/>
              </w:rPr>
              <w:t xml:space="preserve">EEF guidance has supported Barlow Hall’s approaches, in particular: </w:t>
            </w:r>
          </w:p>
          <w:p w14:paraId="1F3C8B14" w14:textId="77777777" w:rsidR="00FA4264" w:rsidRPr="00FA4264" w:rsidRDefault="00FA4264" w:rsidP="00C31636">
            <w:pPr>
              <w:pStyle w:val="TableRowCentered"/>
              <w:ind w:left="0" w:right="0"/>
              <w:jc w:val="left"/>
              <w:rPr>
                <w:sz w:val="22"/>
                <w:szCs w:val="22"/>
              </w:rPr>
            </w:pPr>
            <w:r w:rsidRPr="00FA4264">
              <w:rPr>
                <w:sz w:val="22"/>
                <w:szCs w:val="22"/>
              </w:rPr>
              <w:t xml:space="preserve">• Improving Behaviour guidance </w:t>
            </w:r>
          </w:p>
          <w:p w14:paraId="65C4E708" w14:textId="77777777" w:rsidR="00FA4264" w:rsidRPr="00FA4264" w:rsidRDefault="00FA4264" w:rsidP="00C31636">
            <w:pPr>
              <w:pStyle w:val="TableRowCentered"/>
              <w:ind w:left="0" w:right="0"/>
              <w:jc w:val="left"/>
              <w:rPr>
                <w:sz w:val="22"/>
                <w:szCs w:val="22"/>
              </w:rPr>
            </w:pPr>
            <w:r w:rsidRPr="00FA4264">
              <w:rPr>
                <w:sz w:val="22"/>
                <w:szCs w:val="22"/>
              </w:rPr>
              <w:t xml:space="preserve">• Metacognition and self-regulated learning </w:t>
            </w:r>
          </w:p>
          <w:p w14:paraId="10AA716A" w14:textId="77777777" w:rsidR="00FA4264" w:rsidRPr="00FA4264" w:rsidRDefault="00FA4264" w:rsidP="00C31636">
            <w:pPr>
              <w:pStyle w:val="TableRowCentered"/>
              <w:ind w:left="0" w:right="0"/>
              <w:jc w:val="left"/>
              <w:rPr>
                <w:sz w:val="22"/>
                <w:szCs w:val="22"/>
              </w:rPr>
            </w:pPr>
            <w:r w:rsidRPr="00FA4264">
              <w:rPr>
                <w:sz w:val="22"/>
                <w:szCs w:val="22"/>
              </w:rPr>
              <w:t xml:space="preserve">• Special educational needs in mainstream schools </w:t>
            </w:r>
          </w:p>
          <w:p w14:paraId="7330A29D" w14:textId="77777777" w:rsidR="00FA4264" w:rsidRPr="00FA4264" w:rsidRDefault="00FA4264" w:rsidP="00C31636">
            <w:pPr>
              <w:pStyle w:val="TableRowCentered"/>
              <w:ind w:left="0" w:right="0"/>
              <w:jc w:val="left"/>
              <w:rPr>
                <w:sz w:val="22"/>
                <w:szCs w:val="22"/>
              </w:rPr>
            </w:pPr>
            <w:r w:rsidRPr="00FA4264">
              <w:rPr>
                <w:sz w:val="22"/>
                <w:szCs w:val="22"/>
              </w:rPr>
              <w:t xml:space="preserve">• Working with parents and </w:t>
            </w:r>
          </w:p>
          <w:p w14:paraId="2A7D5539" w14:textId="04DED226" w:rsidR="00E66558" w:rsidRPr="00FA4264" w:rsidRDefault="00FA4264" w:rsidP="00C31636">
            <w:pPr>
              <w:pStyle w:val="TableRowCentered"/>
              <w:ind w:left="0" w:right="0"/>
              <w:jc w:val="left"/>
              <w:rPr>
                <w:sz w:val="22"/>
                <w:szCs w:val="22"/>
              </w:rPr>
            </w:pPr>
            <w:r w:rsidRPr="00FA4264">
              <w:rPr>
                <w:sz w:val="22"/>
                <w:szCs w:val="22"/>
              </w:rPr>
              <w:t>• Social and emotional learning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4D2C5E4E" w:rsidR="00E66558" w:rsidRPr="00FA4264" w:rsidRDefault="00FA4264" w:rsidP="00C31636">
            <w:pPr>
              <w:pStyle w:val="TableRowCentered"/>
              <w:ind w:left="0" w:right="0"/>
              <w:jc w:val="left"/>
              <w:rPr>
                <w:sz w:val="22"/>
                <w:szCs w:val="22"/>
              </w:rPr>
            </w:pPr>
            <w:r w:rsidRPr="00FA4264">
              <w:rPr>
                <w:sz w:val="22"/>
                <w:szCs w:val="22"/>
              </w:rPr>
              <w:t>3, 4</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6D058" w14:textId="77777777" w:rsidR="00FA4264" w:rsidRPr="00FA4264" w:rsidRDefault="00FA4264" w:rsidP="00C31636">
            <w:pPr>
              <w:pStyle w:val="TableRow"/>
              <w:ind w:left="0" w:right="0"/>
              <w:rPr>
                <w:sz w:val="22"/>
                <w:szCs w:val="22"/>
              </w:rPr>
            </w:pPr>
            <w:r w:rsidRPr="00FA4264">
              <w:rPr>
                <w:sz w:val="22"/>
                <w:szCs w:val="22"/>
              </w:rPr>
              <w:t xml:space="preserve">Work of the PSA to provide practical strategies to support learning and offer more sustained and intensive support where needed. Co-ordination of Early Help Assessment through the Inclusion Team, led by the Deputy Head who leads, monitors and trains on strength based conversations for staff undertaking EHAs. </w:t>
            </w:r>
          </w:p>
          <w:p w14:paraId="2A7D553C" w14:textId="017EDAA6" w:rsidR="00E66558" w:rsidRPr="00FA4264" w:rsidRDefault="00FA4264" w:rsidP="00C31636">
            <w:pPr>
              <w:pStyle w:val="TableRow"/>
              <w:ind w:left="0" w:right="0"/>
              <w:rPr>
                <w:i/>
                <w:sz w:val="22"/>
                <w:szCs w:val="22"/>
              </w:rPr>
            </w:pPr>
            <w:r w:rsidRPr="00FA4264">
              <w:rPr>
                <w:color w:val="FF0000"/>
                <w:sz w:val="22"/>
                <w:szCs w:val="22"/>
              </w:rPr>
              <w:t>EEF research Parental engagement +4</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DA1FB" w14:textId="77777777" w:rsidR="00FA4264" w:rsidRPr="00FA4264" w:rsidRDefault="00FA4264" w:rsidP="00C31636">
            <w:pPr>
              <w:pStyle w:val="TableRowCentered"/>
              <w:ind w:left="0" w:right="0"/>
              <w:jc w:val="left"/>
              <w:rPr>
                <w:sz w:val="22"/>
                <w:szCs w:val="22"/>
              </w:rPr>
            </w:pPr>
            <w:r w:rsidRPr="00FA4264">
              <w:rPr>
                <w:sz w:val="22"/>
                <w:szCs w:val="22"/>
              </w:rPr>
              <w:t xml:space="preserve">Parents’ interest and involvement in their children’s learning is consistently associated with positive outcomes for children of all age groups but it can be challenging for schools to influence this effectively. The evidence for what schools can do to effectively engage parents in a way that improves children’s learning outcomes is limited, particularly for older children. Therefore, schools should be optimistic about the potential of parental engagement, but cautious about the best approaches — reviewing and monitoring their activities to check that they are having their intended impacts. Barlow Hall uses the EEF guidance document to support our approaches. </w:t>
            </w:r>
          </w:p>
          <w:p w14:paraId="2A7D553D" w14:textId="6903122F" w:rsidR="00E66558" w:rsidRPr="00FA4264" w:rsidRDefault="00F9062B" w:rsidP="00C31636">
            <w:pPr>
              <w:pStyle w:val="TableRowCentered"/>
              <w:ind w:left="0" w:right="0"/>
              <w:jc w:val="left"/>
              <w:rPr>
                <w:sz w:val="22"/>
                <w:szCs w:val="22"/>
              </w:rPr>
            </w:pPr>
            <w:hyperlink r:id="rId12" w:history="1">
              <w:r w:rsidR="00FA4264" w:rsidRPr="00FA4264">
                <w:rPr>
                  <w:rStyle w:val="Hyperlink"/>
                  <w:sz w:val="22"/>
                  <w:szCs w:val="22"/>
                </w:rPr>
                <w:t>https://educationendowmentfoundation.org.uk/education-evidence/guidancereports/supporting-parents</w:t>
              </w:r>
            </w:hyperlink>
            <w:r w:rsidR="00FA4264" w:rsidRPr="00FA4264">
              <w:rPr>
                <w:sz w:val="22"/>
                <w:szCs w:val="22"/>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5FFBA5C6" w:rsidR="00E66558" w:rsidRPr="00FA4264" w:rsidRDefault="00FA4264" w:rsidP="00C31636">
            <w:pPr>
              <w:pStyle w:val="TableRowCentered"/>
              <w:ind w:left="0" w:right="0"/>
              <w:jc w:val="left"/>
              <w:rPr>
                <w:sz w:val="22"/>
                <w:szCs w:val="22"/>
              </w:rPr>
            </w:pPr>
            <w:r w:rsidRPr="00FA4264">
              <w:rPr>
                <w:sz w:val="22"/>
                <w:szCs w:val="22"/>
              </w:rPr>
              <w:t>1, 4, 5</w:t>
            </w:r>
          </w:p>
        </w:tc>
      </w:tr>
      <w:tr w:rsidR="00FA4264" w14:paraId="5D70D04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EF1EC" w14:textId="77777777" w:rsidR="00FA4264" w:rsidRPr="00FA4264" w:rsidRDefault="00FA4264" w:rsidP="00C31636">
            <w:pPr>
              <w:pStyle w:val="TableRow"/>
              <w:ind w:left="0" w:right="0"/>
              <w:rPr>
                <w:sz w:val="22"/>
                <w:szCs w:val="22"/>
              </w:rPr>
            </w:pPr>
            <w:r w:rsidRPr="00FA4264">
              <w:rPr>
                <w:sz w:val="22"/>
                <w:szCs w:val="22"/>
              </w:rPr>
              <w:t>Barlow Hall being a partner with the Local Authority delivering the commissioned service by leading the Sure Start Children’s Centre and delivering on the Sure Start Core purpose. This enable Barlow Hall develop parental engagement and an earlier starting age to school.</w:t>
            </w:r>
          </w:p>
          <w:p w14:paraId="7DA83F1D" w14:textId="77777777" w:rsidR="00FA4264" w:rsidRPr="00FA4264" w:rsidRDefault="00FA4264" w:rsidP="00C31636">
            <w:pPr>
              <w:pStyle w:val="TableRow"/>
              <w:ind w:left="0" w:right="0"/>
              <w:rPr>
                <w:sz w:val="22"/>
                <w:szCs w:val="22"/>
              </w:rPr>
            </w:pPr>
          </w:p>
          <w:p w14:paraId="345CACDA" w14:textId="77777777" w:rsidR="00FA4264" w:rsidRPr="00FA4264" w:rsidRDefault="00FA4264" w:rsidP="00C31636">
            <w:pPr>
              <w:pStyle w:val="TableRow"/>
              <w:ind w:left="0" w:right="0"/>
              <w:rPr>
                <w:color w:val="FF0000"/>
                <w:sz w:val="22"/>
                <w:szCs w:val="22"/>
              </w:rPr>
            </w:pPr>
            <w:r w:rsidRPr="00FA4264">
              <w:rPr>
                <w:color w:val="FF0000"/>
                <w:sz w:val="22"/>
                <w:szCs w:val="22"/>
              </w:rPr>
              <w:t xml:space="preserve">EEF research Communication and language approaches +6 Earlier starting age +6 </w:t>
            </w:r>
          </w:p>
          <w:p w14:paraId="2E3980E4" w14:textId="77777777" w:rsidR="00FA4264" w:rsidRPr="00FA4264" w:rsidRDefault="00FA4264" w:rsidP="00C31636">
            <w:pPr>
              <w:pStyle w:val="TableRow"/>
              <w:ind w:left="0" w:right="0"/>
              <w:rPr>
                <w:color w:val="FF0000"/>
                <w:sz w:val="22"/>
                <w:szCs w:val="22"/>
              </w:rPr>
            </w:pPr>
          </w:p>
          <w:p w14:paraId="4B70B639" w14:textId="7413949F" w:rsidR="00FA4264" w:rsidRPr="00FA4264" w:rsidRDefault="00FA4264" w:rsidP="00C31636">
            <w:pPr>
              <w:pStyle w:val="TableRow"/>
              <w:ind w:left="0" w:right="0"/>
              <w:rPr>
                <w:sz w:val="22"/>
                <w:szCs w:val="22"/>
              </w:rPr>
            </w:pPr>
            <w:r w:rsidRPr="00FA4264">
              <w:rPr>
                <w:color w:val="FF0000"/>
                <w:sz w:val="22"/>
                <w:szCs w:val="22"/>
              </w:rPr>
              <w:t>Self regulation strategies +5</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5327E" w14:textId="77777777" w:rsidR="00FA4264" w:rsidRDefault="00FA4264" w:rsidP="00C31636">
            <w:pPr>
              <w:pStyle w:val="TableRowCentered"/>
              <w:ind w:left="0" w:right="0"/>
              <w:jc w:val="left"/>
              <w:rPr>
                <w:sz w:val="22"/>
                <w:szCs w:val="22"/>
              </w:rPr>
            </w:pPr>
            <w:r w:rsidRPr="00FA4264">
              <w:rPr>
                <w:sz w:val="22"/>
                <w:szCs w:val="22"/>
              </w:rPr>
              <w:t xml:space="preserve">Better levels of parental engagement are consistently associated with better academic outcomes. Working with 0-5 s develops family language interests and modelling effective language and communication will support parents to understand how to help their child learn. More sustained and intensive strength based support where needed will be used to improve parental engagement and school readiness. </w:t>
            </w:r>
          </w:p>
          <w:p w14:paraId="596E9B64" w14:textId="17A4AB50" w:rsidR="00FA4264" w:rsidRDefault="00F9062B" w:rsidP="00C31636">
            <w:pPr>
              <w:pStyle w:val="TableRowCentered"/>
              <w:ind w:left="0" w:right="0"/>
              <w:jc w:val="left"/>
              <w:rPr>
                <w:sz w:val="22"/>
                <w:szCs w:val="22"/>
              </w:rPr>
            </w:pPr>
            <w:hyperlink r:id="rId13" w:history="1">
              <w:r w:rsidR="00FA4264" w:rsidRPr="001C2FAA">
                <w:rPr>
                  <w:rStyle w:val="Hyperlink"/>
                  <w:sz w:val="22"/>
                  <w:szCs w:val="22"/>
                </w:rPr>
                <w:t>https://educationendowmentfoundation.org.uk/education-evidence/guidancereports/literacy-early-years</w:t>
              </w:r>
            </w:hyperlink>
            <w:r w:rsidR="00FA4264" w:rsidRPr="00FA4264">
              <w:rPr>
                <w:sz w:val="22"/>
                <w:szCs w:val="22"/>
              </w:rPr>
              <w:t xml:space="preserve"> </w:t>
            </w:r>
          </w:p>
          <w:p w14:paraId="6795DE16" w14:textId="052023AB" w:rsidR="00FA4264" w:rsidRDefault="00F9062B" w:rsidP="00C31636">
            <w:pPr>
              <w:pStyle w:val="TableRowCentered"/>
              <w:ind w:left="0" w:right="0"/>
              <w:jc w:val="left"/>
              <w:rPr>
                <w:sz w:val="22"/>
                <w:szCs w:val="22"/>
              </w:rPr>
            </w:pPr>
            <w:hyperlink r:id="rId14" w:history="1">
              <w:r w:rsidR="00FA4264" w:rsidRPr="001C2FAA">
                <w:rPr>
                  <w:rStyle w:val="Hyperlink"/>
                  <w:sz w:val="22"/>
                  <w:szCs w:val="22"/>
                </w:rPr>
                <w:t>https://educationendowmentfoundation.org.uk/education-evidence/guidancereports/supporting-parents</w:t>
              </w:r>
            </w:hyperlink>
          </w:p>
          <w:p w14:paraId="3E0B9774" w14:textId="1DABEC53" w:rsidR="00FA4264" w:rsidRPr="00FA4264" w:rsidRDefault="00FA4264" w:rsidP="00C31636">
            <w:pPr>
              <w:pStyle w:val="TableRowCentered"/>
              <w:ind w:left="0" w:right="0"/>
              <w:jc w:val="left"/>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E0273" w14:textId="26CE1EDE" w:rsidR="00FA4264" w:rsidRPr="00FA4264" w:rsidRDefault="00FA4264" w:rsidP="00C31636">
            <w:pPr>
              <w:pStyle w:val="TableRowCentered"/>
              <w:ind w:left="0" w:right="0"/>
              <w:jc w:val="left"/>
              <w:rPr>
                <w:sz w:val="22"/>
                <w:szCs w:val="22"/>
              </w:rPr>
            </w:pPr>
            <w:r w:rsidRPr="00FA4264">
              <w:rPr>
                <w:sz w:val="22"/>
                <w:szCs w:val="22"/>
              </w:rPr>
              <w:t>1, 3</w:t>
            </w:r>
          </w:p>
        </w:tc>
      </w:tr>
    </w:tbl>
    <w:p w14:paraId="2A7D5540" w14:textId="77777777" w:rsidR="00E66558" w:rsidRDefault="00E66558">
      <w:pPr>
        <w:spacing w:before="240" w:after="0"/>
        <w:rPr>
          <w:b/>
          <w:bCs/>
          <w:color w:val="104F75"/>
          <w:sz w:val="28"/>
          <w:szCs w:val="28"/>
        </w:rPr>
      </w:pPr>
    </w:p>
    <w:p w14:paraId="2A7D5541" w14:textId="3242A99A" w:rsidR="00E66558" w:rsidRDefault="008F216E" w:rsidP="00120AB1">
      <w:r>
        <w:rPr>
          <w:b/>
          <w:bCs/>
          <w:color w:val="104F75"/>
          <w:sz w:val="28"/>
          <w:szCs w:val="28"/>
        </w:rPr>
        <w:t>Total budgeted cost: £189,063</w:t>
      </w:r>
    </w:p>
    <w:p w14:paraId="2A7D5542" w14:textId="2F14A233" w:rsidR="00E66558" w:rsidRPr="00064366" w:rsidRDefault="009D71E8" w:rsidP="00064366">
      <w:pPr>
        <w:pStyle w:val="Heading1"/>
      </w:pPr>
      <w:r w:rsidRPr="00064366">
        <w:t>Part B: Review of the previous academic year</w:t>
      </w:r>
      <w:r w:rsidR="0099223B">
        <w:t xml:space="preserve"> (24/25)</w:t>
      </w:r>
    </w:p>
    <w:p w14:paraId="751285B7" w14:textId="5559BFA0" w:rsidR="008B6404" w:rsidRDefault="00064366" w:rsidP="00173D4C">
      <w:pPr>
        <w:pStyle w:val="Heading2"/>
      </w:pPr>
      <w:r w:rsidRPr="00173D4C">
        <w:t>Outcomes for disadvantaged pupils</w:t>
      </w:r>
    </w:p>
    <w:p w14:paraId="6F1930AB" w14:textId="42BBCC33" w:rsidR="00DD17B3" w:rsidRDefault="00DD17B3" w:rsidP="00DD17B3">
      <w:r w:rsidRPr="00DD17B3">
        <w:rPr>
          <w:noProof/>
        </w:rPr>
        <w:drawing>
          <wp:inline distT="0" distB="0" distL="0" distR="0" wp14:anchorId="0CD73BAD" wp14:editId="2C2899CA">
            <wp:extent cx="6029960" cy="433133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29960" cy="4331335"/>
                    </a:xfrm>
                    <a:prstGeom prst="rect">
                      <a:avLst/>
                    </a:prstGeom>
                  </pic:spPr>
                </pic:pic>
              </a:graphicData>
            </a:graphic>
          </wp:inline>
        </w:drawing>
      </w:r>
    </w:p>
    <w:p w14:paraId="4CEA15F8" w14:textId="77777777" w:rsidR="00DD17B3" w:rsidRPr="00DD17B3" w:rsidRDefault="00DD17B3" w:rsidP="00DD17B3"/>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9DA2DD" w14:textId="5A3F1FB7" w:rsidR="0064167B" w:rsidRPr="0099223B" w:rsidRDefault="0099223B" w:rsidP="00242093">
            <w:pPr>
              <w:spacing w:before="60"/>
              <w:rPr>
                <w:rFonts w:cs="Arial"/>
                <w:b/>
                <w:iCs/>
                <w:color w:val="000000"/>
                <w:sz w:val="22"/>
                <w:szCs w:val="22"/>
                <w:u w:val="single"/>
              </w:rPr>
            </w:pPr>
            <w:r w:rsidRPr="0099223B">
              <w:rPr>
                <w:rFonts w:cs="Arial"/>
                <w:b/>
                <w:iCs/>
                <w:color w:val="000000"/>
                <w:sz w:val="22"/>
                <w:szCs w:val="22"/>
                <w:u w:val="single"/>
              </w:rPr>
              <w:t>Attendance</w:t>
            </w:r>
          </w:p>
          <w:p w14:paraId="38E13422" w14:textId="42BF9773" w:rsidR="0099223B" w:rsidRPr="0099223B" w:rsidRDefault="0099223B" w:rsidP="00242093">
            <w:pPr>
              <w:spacing w:before="60"/>
              <w:rPr>
                <w:rFonts w:cs="Arial"/>
                <w:color w:val="000000"/>
                <w:sz w:val="22"/>
                <w:szCs w:val="22"/>
              </w:rPr>
            </w:pPr>
            <w:r w:rsidRPr="0099223B">
              <w:rPr>
                <w:rFonts w:cs="Arial"/>
                <w:color w:val="000000"/>
                <w:sz w:val="22"/>
                <w:szCs w:val="22"/>
              </w:rPr>
              <w:t>24/25 disadv absence 5.5%, PA 10.6%</w:t>
            </w:r>
          </w:p>
          <w:p w14:paraId="4B21EFF1" w14:textId="053D6B84" w:rsidR="0099223B" w:rsidRPr="0099223B" w:rsidRDefault="0099223B" w:rsidP="00242093">
            <w:pPr>
              <w:spacing w:before="60"/>
              <w:rPr>
                <w:rFonts w:cs="Arial"/>
                <w:b/>
                <w:color w:val="000000"/>
                <w:sz w:val="22"/>
                <w:szCs w:val="22"/>
                <w:u w:val="single"/>
              </w:rPr>
            </w:pPr>
            <w:r w:rsidRPr="0099223B">
              <w:rPr>
                <w:rFonts w:cs="Arial"/>
                <w:b/>
                <w:color w:val="000000"/>
                <w:sz w:val="22"/>
                <w:szCs w:val="22"/>
                <w:u w:val="single"/>
              </w:rPr>
              <w:t>Good Level of Development/Early Years</w:t>
            </w:r>
          </w:p>
          <w:p w14:paraId="14919F80" w14:textId="43108359" w:rsidR="0099223B" w:rsidRPr="0099223B" w:rsidRDefault="0099223B" w:rsidP="00242093">
            <w:pPr>
              <w:spacing w:before="60"/>
              <w:rPr>
                <w:rFonts w:cs="Arial"/>
                <w:color w:val="000000"/>
                <w:sz w:val="22"/>
                <w:szCs w:val="22"/>
              </w:rPr>
            </w:pPr>
            <w:r w:rsidRPr="0099223B">
              <w:rPr>
                <w:rFonts w:cs="Arial"/>
                <w:color w:val="000000"/>
                <w:sz w:val="22"/>
                <w:szCs w:val="22"/>
              </w:rPr>
              <w:t>Disadv pupils- 64% of cohort, Disadv GLD - 64.3% (School GLD – 58.3%)</w:t>
            </w:r>
          </w:p>
          <w:p w14:paraId="6B8BB423" w14:textId="5EAA6F8C" w:rsidR="0099223B" w:rsidRPr="0099223B" w:rsidRDefault="0099223B" w:rsidP="00242093">
            <w:pPr>
              <w:spacing w:before="60"/>
              <w:rPr>
                <w:rFonts w:cs="Arial"/>
                <w:color w:val="000000"/>
                <w:sz w:val="22"/>
                <w:szCs w:val="22"/>
              </w:rPr>
            </w:pPr>
            <w:r w:rsidRPr="0099223B">
              <w:rPr>
                <w:rFonts w:cs="Arial"/>
                <w:color w:val="000000"/>
                <w:sz w:val="22"/>
                <w:szCs w:val="22"/>
              </w:rPr>
              <w:t>WellComm screens demonstrate good progress - Of the 19 children in BH since Nursery 37% scored Green on their age appropriate WellComm screen on entry to Nursery and 79% scored Green at the end of Nursery</w:t>
            </w:r>
          </w:p>
          <w:p w14:paraId="6E4E0DC3" w14:textId="77777777" w:rsidR="0099223B" w:rsidRPr="0099223B" w:rsidRDefault="0099223B" w:rsidP="0099223B">
            <w:pPr>
              <w:suppressAutoHyphens w:val="0"/>
              <w:autoSpaceDN/>
              <w:spacing w:after="0" w:line="240" w:lineRule="auto"/>
              <w:rPr>
                <w:rFonts w:cs="Arial"/>
                <w:color w:val="auto"/>
                <w:sz w:val="22"/>
                <w:szCs w:val="22"/>
              </w:rPr>
            </w:pPr>
            <w:r w:rsidRPr="0099223B">
              <w:rPr>
                <w:rFonts w:cs="Arial"/>
                <w:color w:val="000000"/>
                <w:sz w:val="22"/>
                <w:szCs w:val="22"/>
              </w:rPr>
              <w:t>Disadvantaged pupils - 16 pupils 64% of the cohort</w:t>
            </w:r>
          </w:p>
          <w:p w14:paraId="4372D1AC" w14:textId="77777777" w:rsidR="0099223B" w:rsidRPr="0099223B" w:rsidRDefault="0099223B" w:rsidP="0099223B">
            <w:pPr>
              <w:suppressAutoHyphens w:val="0"/>
              <w:autoSpaceDN/>
              <w:spacing w:after="0" w:line="240" w:lineRule="auto"/>
              <w:rPr>
                <w:rFonts w:cs="Arial"/>
                <w:color w:val="auto"/>
                <w:sz w:val="22"/>
                <w:szCs w:val="22"/>
              </w:rPr>
            </w:pPr>
            <w:r w:rsidRPr="0099223B">
              <w:rPr>
                <w:rFonts w:cs="Arial"/>
                <w:color w:val="000000"/>
                <w:sz w:val="22"/>
                <w:szCs w:val="22"/>
              </w:rPr>
              <w:t>The disadvantaged pupils achieved 64.3% GLD, compared to non disadv 55.6%. </w:t>
            </w:r>
          </w:p>
          <w:p w14:paraId="26E2999D" w14:textId="77777777" w:rsidR="0099223B" w:rsidRPr="0099223B" w:rsidRDefault="0099223B" w:rsidP="0099223B">
            <w:pPr>
              <w:suppressAutoHyphens w:val="0"/>
              <w:autoSpaceDN/>
              <w:spacing w:after="0" w:line="240" w:lineRule="auto"/>
              <w:rPr>
                <w:rFonts w:cs="Arial"/>
                <w:color w:val="auto"/>
                <w:sz w:val="22"/>
                <w:szCs w:val="22"/>
              </w:rPr>
            </w:pPr>
          </w:p>
          <w:p w14:paraId="5E2BE59D" w14:textId="77777777" w:rsidR="0099223B" w:rsidRPr="0099223B" w:rsidRDefault="0099223B" w:rsidP="0099223B">
            <w:pPr>
              <w:suppressAutoHyphens w:val="0"/>
              <w:autoSpaceDN/>
              <w:spacing w:after="0" w:line="240" w:lineRule="auto"/>
              <w:rPr>
                <w:rFonts w:cs="Arial"/>
                <w:color w:val="auto"/>
                <w:sz w:val="22"/>
                <w:szCs w:val="22"/>
              </w:rPr>
            </w:pPr>
            <w:r w:rsidRPr="0099223B">
              <w:rPr>
                <w:rFonts w:cs="Arial"/>
                <w:color w:val="000000"/>
                <w:sz w:val="22"/>
                <w:szCs w:val="22"/>
              </w:rPr>
              <w:t>3 of the 8 SEND children are also disadvantaged.</w:t>
            </w:r>
          </w:p>
          <w:p w14:paraId="5514A01C" w14:textId="77777777" w:rsidR="0099223B" w:rsidRPr="0099223B" w:rsidRDefault="0099223B" w:rsidP="0099223B">
            <w:pPr>
              <w:suppressAutoHyphens w:val="0"/>
              <w:autoSpaceDN/>
              <w:spacing w:after="0" w:line="240" w:lineRule="auto"/>
              <w:rPr>
                <w:rFonts w:cs="Arial"/>
                <w:color w:val="auto"/>
                <w:sz w:val="22"/>
                <w:szCs w:val="22"/>
              </w:rPr>
            </w:pPr>
          </w:p>
          <w:p w14:paraId="134F377A" w14:textId="77777777" w:rsidR="0099223B" w:rsidRPr="0099223B" w:rsidRDefault="0099223B" w:rsidP="0099223B">
            <w:pPr>
              <w:suppressAutoHyphens w:val="0"/>
              <w:autoSpaceDN/>
              <w:spacing w:after="0" w:line="240" w:lineRule="auto"/>
              <w:rPr>
                <w:rFonts w:cs="Arial"/>
                <w:color w:val="auto"/>
                <w:sz w:val="22"/>
                <w:szCs w:val="22"/>
              </w:rPr>
            </w:pPr>
            <w:r w:rsidRPr="0099223B">
              <w:rPr>
                <w:rFonts w:cs="Arial"/>
                <w:color w:val="000000"/>
                <w:sz w:val="22"/>
                <w:szCs w:val="22"/>
              </w:rPr>
              <w:t>The curriculum and the provision is equally ambitious for all pupils and this is evident in the previous visits to EYFS and discussions with leaders and EY2P QA visits. The phonics programme Sounds-Write supports all pupils and the school are part of the Think Equal programme.</w:t>
            </w:r>
          </w:p>
          <w:p w14:paraId="4B86490B" w14:textId="620A6CF1" w:rsidR="0099223B" w:rsidRPr="0099223B" w:rsidRDefault="0099223B" w:rsidP="00242093">
            <w:pPr>
              <w:spacing w:before="60"/>
              <w:rPr>
                <w:rFonts w:cs="Arial"/>
                <w:b/>
                <w:color w:val="000000"/>
                <w:sz w:val="22"/>
                <w:szCs w:val="22"/>
                <w:u w:val="single"/>
              </w:rPr>
            </w:pPr>
          </w:p>
          <w:p w14:paraId="45024D51" w14:textId="646EA859" w:rsidR="0099223B" w:rsidRPr="0099223B" w:rsidRDefault="0099223B" w:rsidP="00242093">
            <w:pPr>
              <w:spacing w:before="60"/>
              <w:rPr>
                <w:rFonts w:cs="Arial"/>
                <w:b/>
                <w:color w:val="000000"/>
                <w:sz w:val="22"/>
                <w:szCs w:val="22"/>
                <w:u w:val="single"/>
              </w:rPr>
            </w:pPr>
            <w:r w:rsidRPr="0099223B">
              <w:rPr>
                <w:rFonts w:cs="Arial"/>
                <w:b/>
                <w:color w:val="000000"/>
                <w:sz w:val="22"/>
                <w:szCs w:val="22"/>
                <w:u w:val="single"/>
              </w:rPr>
              <w:t>Phonics</w:t>
            </w:r>
          </w:p>
          <w:p w14:paraId="32CB3556" w14:textId="77777777" w:rsidR="0099223B" w:rsidRPr="0099223B" w:rsidRDefault="0099223B" w:rsidP="0099223B">
            <w:pPr>
              <w:pStyle w:val="NormalWeb"/>
              <w:spacing w:before="4" w:beforeAutospacing="0" w:after="0" w:afterAutospacing="0"/>
              <w:ind w:left="137"/>
              <w:rPr>
                <w:rFonts w:ascii="Arial" w:hAnsi="Arial" w:cs="Arial"/>
                <w:sz w:val="22"/>
                <w:szCs w:val="22"/>
              </w:rPr>
            </w:pPr>
            <w:r w:rsidRPr="0099223B">
              <w:rPr>
                <w:rFonts w:ascii="Arial" w:hAnsi="Arial" w:cs="Arial"/>
                <w:color w:val="000000"/>
                <w:sz w:val="22"/>
                <w:szCs w:val="22"/>
              </w:rPr>
              <w:t>65.4% of the cohort were disadvantaged.</w:t>
            </w:r>
          </w:p>
          <w:tbl>
            <w:tblPr>
              <w:tblW w:w="0" w:type="auto"/>
              <w:tblCellMar>
                <w:top w:w="15" w:type="dxa"/>
                <w:left w:w="15" w:type="dxa"/>
                <w:bottom w:w="15" w:type="dxa"/>
                <w:right w:w="15" w:type="dxa"/>
              </w:tblCellMar>
              <w:tblLook w:val="04A0" w:firstRow="1" w:lastRow="0" w:firstColumn="1" w:lastColumn="0" w:noHBand="0" w:noVBand="1"/>
            </w:tblPr>
            <w:tblGrid>
              <w:gridCol w:w="877"/>
              <w:gridCol w:w="1781"/>
            </w:tblGrid>
            <w:tr w:rsidR="0099223B" w:rsidRPr="0099223B" w14:paraId="75ECC2F8" w14:textId="77777777" w:rsidTr="009922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4D4E01" w14:textId="77777777" w:rsidR="0099223B" w:rsidRPr="0099223B" w:rsidRDefault="0099223B" w:rsidP="0099223B">
                  <w:pPr>
                    <w:suppressAutoHyphens w:val="0"/>
                    <w:autoSpaceDN/>
                    <w:spacing w:before="4" w:after="0" w:line="240" w:lineRule="auto"/>
                    <w:rPr>
                      <w:rFonts w:cs="Arial"/>
                      <w:color w:val="auto"/>
                      <w:sz w:val="22"/>
                      <w:szCs w:val="22"/>
                    </w:rPr>
                  </w:pPr>
                  <w:r w:rsidRPr="0099223B">
                    <w:rPr>
                      <w:rFonts w:cs="Arial"/>
                      <w:b/>
                      <w:bCs/>
                      <w:color w:val="000000"/>
                      <w:sz w:val="22"/>
                      <w:szCs w:val="22"/>
                    </w:rPr>
                    <w:t>Year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B6767F" w14:textId="77777777" w:rsidR="0099223B" w:rsidRPr="0099223B" w:rsidRDefault="0099223B" w:rsidP="0099223B">
                  <w:pPr>
                    <w:suppressAutoHyphens w:val="0"/>
                    <w:autoSpaceDN/>
                    <w:spacing w:before="4" w:after="0" w:line="240" w:lineRule="auto"/>
                    <w:rPr>
                      <w:rFonts w:cs="Arial"/>
                      <w:color w:val="auto"/>
                      <w:sz w:val="22"/>
                      <w:szCs w:val="22"/>
                    </w:rPr>
                  </w:pPr>
                  <w:r w:rsidRPr="0099223B">
                    <w:rPr>
                      <w:rFonts w:cs="Arial"/>
                      <w:b/>
                      <w:bCs/>
                      <w:color w:val="000000"/>
                      <w:sz w:val="22"/>
                      <w:szCs w:val="22"/>
                    </w:rPr>
                    <w:t>Disadvantaged</w:t>
                  </w:r>
                </w:p>
              </w:tc>
            </w:tr>
            <w:tr w:rsidR="0099223B" w:rsidRPr="0099223B" w14:paraId="10C89357" w14:textId="77777777" w:rsidTr="009922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00A652" w14:textId="77777777" w:rsidR="0099223B" w:rsidRPr="0099223B" w:rsidRDefault="0099223B" w:rsidP="0099223B">
                  <w:pPr>
                    <w:suppressAutoHyphens w:val="0"/>
                    <w:autoSpaceDN/>
                    <w:spacing w:before="4" w:after="0" w:line="240" w:lineRule="auto"/>
                    <w:rPr>
                      <w:rFonts w:cs="Arial"/>
                      <w:color w:val="auto"/>
                      <w:sz w:val="22"/>
                      <w:szCs w:val="22"/>
                    </w:rPr>
                  </w:pPr>
                  <w:r w:rsidRPr="0099223B">
                    <w:rPr>
                      <w:rFonts w:cs="Arial"/>
                      <w:color w:val="000000"/>
                      <w:sz w:val="22"/>
                      <w:szCs w:val="22"/>
                    </w:rPr>
                    <w:t>63%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F965F1" w14:textId="77777777" w:rsidR="0099223B" w:rsidRPr="0099223B" w:rsidRDefault="0099223B" w:rsidP="0099223B">
                  <w:pPr>
                    <w:suppressAutoHyphens w:val="0"/>
                    <w:autoSpaceDN/>
                    <w:spacing w:before="4" w:after="0" w:line="240" w:lineRule="auto"/>
                    <w:rPr>
                      <w:rFonts w:cs="Arial"/>
                      <w:color w:val="auto"/>
                      <w:sz w:val="22"/>
                      <w:szCs w:val="22"/>
                    </w:rPr>
                  </w:pPr>
                  <w:r w:rsidRPr="0099223B">
                    <w:rPr>
                      <w:rFonts w:cs="Arial"/>
                      <w:color w:val="000000"/>
                      <w:sz w:val="22"/>
                      <w:szCs w:val="22"/>
                    </w:rPr>
                    <w:t>55.6%</w:t>
                  </w:r>
                </w:p>
              </w:tc>
            </w:tr>
          </w:tbl>
          <w:p w14:paraId="2C566879" w14:textId="51F0224C" w:rsidR="0099223B" w:rsidRPr="0099223B" w:rsidRDefault="0099223B" w:rsidP="00242093">
            <w:pPr>
              <w:spacing w:before="60"/>
              <w:rPr>
                <w:rFonts w:cs="Arial"/>
                <w:color w:val="000000"/>
                <w:sz w:val="22"/>
                <w:szCs w:val="22"/>
              </w:rPr>
            </w:pPr>
          </w:p>
          <w:p w14:paraId="04609308" w14:textId="6A8D312B" w:rsidR="0099223B" w:rsidRPr="0099223B" w:rsidRDefault="0099223B" w:rsidP="00242093">
            <w:pPr>
              <w:spacing w:before="60"/>
              <w:rPr>
                <w:rFonts w:cs="Arial"/>
                <w:b/>
                <w:color w:val="000000"/>
                <w:sz w:val="22"/>
                <w:szCs w:val="22"/>
                <w:u w:val="single"/>
              </w:rPr>
            </w:pPr>
            <w:r w:rsidRPr="0099223B">
              <w:rPr>
                <w:rFonts w:cs="Arial"/>
                <w:b/>
                <w:color w:val="000000"/>
                <w:sz w:val="22"/>
                <w:szCs w:val="22"/>
                <w:u w:val="single"/>
              </w:rPr>
              <w:t>KS1</w:t>
            </w:r>
          </w:p>
          <w:tbl>
            <w:tblPr>
              <w:tblW w:w="0" w:type="auto"/>
              <w:tblCellMar>
                <w:top w:w="15" w:type="dxa"/>
                <w:left w:w="15" w:type="dxa"/>
                <w:bottom w:w="15" w:type="dxa"/>
                <w:right w:w="15" w:type="dxa"/>
              </w:tblCellMar>
              <w:tblLook w:val="04A0" w:firstRow="1" w:lastRow="0" w:firstColumn="1" w:lastColumn="0" w:noHBand="0" w:noVBand="1"/>
            </w:tblPr>
            <w:tblGrid>
              <w:gridCol w:w="1292"/>
              <w:gridCol w:w="681"/>
              <w:gridCol w:w="657"/>
            </w:tblGrid>
            <w:tr w:rsidR="0099223B" w:rsidRPr="0099223B" w14:paraId="67C28BE0" w14:textId="77777777" w:rsidTr="009922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648F85" w14:textId="77777777" w:rsidR="0099223B" w:rsidRPr="0099223B" w:rsidRDefault="0099223B" w:rsidP="0099223B">
                  <w:pPr>
                    <w:suppressAutoHyphens w:val="0"/>
                    <w:autoSpaceDN/>
                    <w:spacing w:after="0" w:line="240" w:lineRule="auto"/>
                    <w:rPr>
                      <w:rFonts w:cs="Arial"/>
                      <w:color w:val="auto"/>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E2B863" w14:textId="77777777" w:rsidR="0099223B" w:rsidRPr="0099223B" w:rsidRDefault="0099223B" w:rsidP="0099223B">
                  <w:pPr>
                    <w:suppressAutoHyphens w:val="0"/>
                    <w:autoSpaceDN/>
                    <w:spacing w:before="233" w:after="0" w:line="240" w:lineRule="auto"/>
                    <w:rPr>
                      <w:rFonts w:cs="Arial"/>
                      <w:color w:val="auto"/>
                      <w:sz w:val="22"/>
                      <w:szCs w:val="22"/>
                    </w:rPr>
                  </w:pPr>
                  <w:r w:rsidRPr="0099223B">
                    <w:rPr>
                      <w:rFonts w:cs="Arial"/>
                      <w:b/>
                      <w:bCs/>
                      <w:color w:val="000000"/>
                      <w:sz w:val="22"/>
                      <w:szCs w:val="22"/>
                    </w:rPr>
                    <w:t>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B0B954" w14:textId="77777777" w:rsidR="0099223B" w:rsidRPr="0099223B" w:rsidRDefault="0099223B" w:rsidP="0099223B">
                  <w:pPr>
                    <w:suppressAutoHyphens w:val="0"/>
                    <w:autoSpaceDN/>
                    <w:spacing w:before="233" w:after="0" w:line="240" w:lineRule="auto"/>
                    <w:rPr>
                      <w:rFonts w:cs="Arial"/>
                      <w:color w:val="auto"/>
                      <w:sz w:val="22"/>
                      <w:szCs w:val="22"/>
                    </w:rPr>
                  </w:pPr>
                  <w:r w:rsidRPr="0099223B">
                    <w:rPr>
                      <w:rFonts w:cs="Arial"/>
                      <w:b/>
                      <w:bCs/>
                      <w:color w:val="000000"/>
                      <w:sz w:val="22"/>
                      <w:szCs w:val="22"/>
                    </w:rPr>
                    <w:t>Dis</w:t>
                  </w:r>
                </w:p>
              </w:tc>
            </w:tr>
            <w:tr w:rsidR="0099223B" w:rsidRPr="0099223B" w14:paraId="35070210" w14:textId="77777777" w:rsidTr="009922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7D11B4" w14:textId="77777777" w:rsidR="0099223B" w:rsidRPr="0099223B" w:rsidRDefault="0099223B" w:rsidP="0099223B">
                  <w:pPr>
                    <w:suppressAutoHyphens w:val="0"/>
                    <w:autoSpaceDN/>
                    <w:spacing w:before="233" w:after="0" w:line="240" w:lineRule="auto"/>
                    <w:rPr>
                      <w:rFonts w:cs="Arial"/>
                      <w:color w:val="auto"/>
                      <w:sz w:val="22"/>
                      <w:szCs w:val="22"/>
                    </w:rPr>
                  </w:pPr>
                  <w:r w:rsidRPr="0099223B">
                    <w:rPr>
                      <w:rFonts w:cs="Arial"/>
                      <w:b/>
                      <w:bCs/>
                      <w:color w:val="000000"/>
                      <w:sz w:val="22"/>
                      <w:szCs w:val="22"/>
                    </w:rPr>
                    <w:t>Combined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1CED80" w14:textId="77777777" w:rsidR="0099223B" w:rsidRPr="0099223B" w:rsidRDefault="0099223B" w:rsidP="0099223B">
                  <w:pPr>
                    <w:suppressAutoHyphens w:val="0"/>
                    <w:autoSpaceDN/>
                    <w:spacing w:before="233" w:after="0" w:line="240" w:lineRule="auto"/>
                    <w:rPr>
                      <w:rFonts w:cs="Arial"/>
                      <w:color w:val="auto"/>
                      <w:sz w:val="22"/>
                      <w:szCs w:val="22"/>
                    </w:rPr>
                  </w:pPr>
                  <w:r w:rsidRPr="0099223B">
                    <w:rPr>
                      <w:rFonts w:cs="Arial"/>
                      <w:color w:val="000000"/>
                      <w:sz w:val="22"/>
                      <w:szCs w:val="22"/>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06E188" w14:textId="77777777" w:rsidR="0099223B" w:rsidRPr="0099223B" w:rsidRDefault="0099223B" w:rsidP="0099223B">
                  <w:pPr>
                    <w:suppressAutoHyphens w:val="0"/>
                    <w:autoSpaceDN/>
                    <w:spacing w:before="233" w:after="0" w:line="240" w:lineRule="auto"/>
                    <w:rPr>
                      <w:rFonts w:cs="Arial"/>
                      <w:color w:val="auto"/>
                      <w:sz w:val="22"/>
                      <w:szCs w:val="22"/>
                    </w:rPr>
                  </w:pPr>
                  <w:r w:rsidRPr="0099223B">
                    <w:rPr>
                      <w:rFonts w:cs="Arial"/>
                      <w:color w:val="000000"/>
                      <w:sz w:val="22"/>
                      <w:szCs w:val="22"/>
                    </w:rPr>
                    <w:t>17%</w:t>
                  </w:r>
                </w:p>
              </w:tc>
            </w:tr>
            <w:tr w:rsidR="0099223B" w:rsidRPr="0099223B" w14:paraId="594727F1" w14:textId="77777777" w:rsidTr="009922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E6E99D" w14:textId="77777777" w:rsidR="0099223B" w:rsidRPr="0099223B" w:rsidRDefault="0099223B" w:rsidP="0099223B">
                  <w:pPr>
                    <w:suppressAutoHyphens w:val="0"/>
                    <w:autoSpaceDN/>
                    <w:spacing w:before="233" w:after="0" w:line="240" w:lineRule="auto"/>
                    <w:rPr>
                      <w:rFonts w:cs="Arial"/>
                      <w:color w:val="auto"/>
                      <w:sz w:val="22"/>
                      <w:szCs w:val="22"/>
                    </w:rPr>
                  </w:pPr>
                  <w:r w:rsidRPr="0099223B">
                    <w:rPr>
                      <w:rFonts w:cs="Arial"/>
                      <w:b/>
                      <w:bCs/>
                      <w:color w:val="000000"/>
                      <w:sz w:val="22"/>
                      <w:szCs w:val="22"/>
                    </w:rPr>
                    <w:t>Reading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9D2903" w14:textId="77777777" w:rsidR="0099223B" w:rsidRPr="0099223B" w:rsidRDefault="0099223B" w:rsidP="0099223B">
                  <w:pPr>
                    <w:suppressAutoHyphens w:val="0"/>
                    <w:autoSpaceDN/>
                    <w:spacing w:before="233" w:after="0" w:line="240" w:lineRule="auto"/>
                    <w:rPr>
                      <w:rFonts w:cs="Arial"/>
                      <w:color w:val="auto"/>
                      <w:sz w:val="22"/>
                      <w:szCs w:val="22"/>
                    </w:rPr>
                  </w:pPr>
                  <w:r w:rsidRPr="0099223B">
                    <w:rPr>
                      <w:rFonts w:cs="Arial"/>
                      <w:color w:val="000000"/>
                      <w:sz w:val="22"/>
                      <w:szCs w:val="22"/>
                    </w:rPr>
                    <w:t>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94888C" w14:textId="77777777" w:rsidR="0099223B" w:rsidRPr="0099223B" w:rsidRDefault="0099223B" w:rsidP="0099223B">
                  <w:pPr>
                    <w:suppressAutoHyphens w:val="0"/>
                    <w:autoSpaceDN/>
                    <w:spacing w:before="233" w:after="0" w:line="240" w:lineRule="auto"/>
                    <w:rPr>
                      <w:rFonts w:cs="Arial"/>
                      <w:color w:val="auto"/>
                      <w:sz w:val="22"/>
                      <w:szCs w:val="22"/>
                    </w:rPr>
                  </w:pPr>
                  <w:r w:rsidRPr="0099223B">
                    <w:rPr>
                      <w:rFonts w:cs="Arial"/>
                      <w:color w:val="000000"/>
                      <w:sz w:val="22"/>
                      <w:szCs w:val="22"/>
                    </w:rPr>
                    <w:t>67%</w:t>
                  </w:r>
                </w:p>
              </w:tc>
            </w:tr>
            <w:tr w:rsidR="0099223B" w:rsidRPr="0099223B" w14:paraId="32E91582" w14:textId="77777777" w:rsidTr="009922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43486" w14:textId="77777777" w:rsidR="0099223B" w:rsidRPr="0099223B" w:rsidRDefault="0099223B" w:rsidP="0099223B">
                  <w:pPr>
                    <w:suppressAutoHyphens w:val="0"/>
                    <w:autoSpaceDN/>
                    <w:spacing w:before="233" w:after="0" w:line="240" w:lineRule="auto"/>
                    <w:rPr>
                      <w:rFonts w:cs="Arial"/>
                      <w:color w:val="auto"/>
                      <w:sz w:val="22"/>
                      <w:szCs w:val="22"/>
                    </w:rPr>
                  </w:pPr>
                  <w:r w:rsidRPr="0099223B">
                    <w:rPr>
                      <w:rFonts w:cs="Arial"/>
                      <w:b/>
                      <w:bCs/>
                      <w:color w:val="000000"/>
                      <w:sz w:val="22"/>
                      <w:szCs w:val="22"/>
                    </w:rPr>
                    <w:t>Writing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EFC8B3" w14:textId="77777777" w:rsidR="0099223B" w:rsidRPr="0099223B" w:rsidRDefault="0099223B" w:rsidP="0099223B">
                  <w:pPr>
                    <w:suppressAutoHyphens w:val="0"/>
                    <w:autoSpaceDN/>
                    <w:spacing w:before="233" w:after="0" w:line="240" w:lineRule="auto"/>
                    <w:rPr>
                      <w:rFonts w:cs="Arial"/>
                      <w:color w:val="auto"/>
                      <w:sz w:val="22"/>
                      <w:szCs w:val="22"/>
                    </w:rPr>
                  </w:pPr>
                  <w:r w:rsidRPr="0099223B">
                    <w:rPr>
                      <w:rFonts w:cs="Arial"/>
                      <w:color w:val="000000"/>
                      <w:sz w:val="22"/>
                      <w:szCs w:val="22"/>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BFD8B3" w14:textId="77777777" w:rsidR="0099223B" w:rsidRPr="0099223B" w:rsidRDefault="0099223B" w:rsidP="0099223B">
                  <w:pPr>
                    <w:suppressAutoHyphens w:val="0"/>
                    <w:autoSpaceDN/>
                    <w:spacing w:before="233" w:after="0" w:line="240" w:lineRule="auto"/>
                    <w:rPr>
                      <w:rFonts w:cs="Arial"/>
                      <w:color w:val="auto"/>
                      <w:sz w:val="22"/>
                      <w:szCs w:val="22"/>
                    </w:rPr>
                  </w:pPr>
                  <w:r w:rsidRPr="0099223B">
                    <w:rPr>
                      <w:rFonts w:cs="Arial"/>
                      <w:color w:val="000000"/>
                      <w:sz w:val="22"/>
                      <w:szCs w:val="22"/>
                    </w:rPr>
                    <w:t>25%</w:t>
                  </w:r>
                </w:p>
              </w:tc>
            </w:tr>
            <w:tr w:rsidR="0099223B" w:rsidRPr="0099223B" w14:paraId="29496A95" w14:textId="77777777" w:rsidTr="009922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EAE4D5" w14:textId="77777777" w:rsidR="0099223B" w:rsidRPr="0099223B" w:rsidRDefault="0099223B" w:rsidP="0099223B">
                  <w:pPr>
                    <w:suppressAutoHyphens w:val="0"/>
                    <w:autoSpaceDN/>
                    <w:spacing w:before="233" w:after="0" w:line="240" w:lineRule="auto"/>
                    <w:rPr>
                      <w:rFonts w:cs="Arial"/>
                      <w:color w:val="auto"/>
                      <w:sz w:val="22"/>
                      <w:szCs w:val="22"/>
                    </w:rPr>
                  </w:pPr>
                  <w:r w:rsidRPr="0099223B">
                    <w:rPr>
                      <w:rFonts w:cs="Arial"/>
                      <w:b/>
                      <w:bCs/>
                      <w:color w:val="000000"/>
                      <w:sz w:val="22"/>
                      <w:szCs w:val="22"/>
                    </w:rPr>
                    <w:t>Maths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599997" w14:textId="77777777" w:rsidR="0099223B" w:rsidRPr="0099223B" w:rsidRDefault="0099223B" w:rsidP="0099223B">
                  <w:pPr>
                    <w:suppressAutoHyphens w:val="0"/>
                    <w:autoSpaceDN/>
                    <w:spacing w:before="233" w:after="0" w:line="240" w:lineRule="auto"/>
                    <w:rPr>
                      <w:rFonts w:cs="Arial"/>
                      <w:color w:val="auto"/>
                      <w:sz w:val="22"/>
                      <w:szCs w:val="22"/>
                    </w:rPr>
                  </w:pPr>
                  <w:r w:rsidRPr="0099223B">
                    <w:rPr>
                      <w:rFonts w:cs="Arial"/>
                      <w:color w:val="000000"/>
                      <w:sz w:val="22"/>
                      <w:szCs w:val="22"/>
                    </w:rPr>
                    <w:t>73%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744360" w14:textId="77777777" w:rsidR="0099223B" w:rsidRPr="0099223B" w:rsidRDefault="0099223B" w:rsidP="0099223B">
                  <w:pPr>
                    <w:suppressAutoHyphens w:val="0"/>
                    <w:autoSpaceDN/>
                    <w:spacing w:before="233" w:after="0" w:line="240" w:lineRule="auto"/>
                    <w:rPr>
                      <w:rFonts w:cs="Arial"/>
                      <w:color w:val="auto"/>
                      <w:sz w:val="22"/>
                      <w:szCs w:val="22"/>
                    </w:rPr>
                  </w:pPr>
                  <w:r w:rsidRPr="0099223B">
                    <w:rPr>
                      <w:rFonts w:cs="Arial"/>
                      <w:color w:val="000000"/>
                      <w:sz w:val="22"/>
                      <w:szCs w:val="22"/>
                    </w:rPr>
                    <w:t>58%</w:t>
                  </w:r>
                </w:p>
              </w:tc>
            </w:tr>
          </w:tbl>
          <w:p w14:paraId="45A42A98" w14:textId="06A2101A" w:rsidR="0099223B" w:rsidRPr="0099223B" w:rsidRDefault="0099223B" w:rsidP="00242093">
            <w:pPr>
              <w:spacing w:before="60"/>
              <w:rPr>
                <w:rFonts w:cs="Arial"/>
                <w:color w:val="000000"/>
                <w:sz w:val="22"/>
                <w:szCs w:val="22"/>
              </w:rPr>
            </w:pPr>
          </w:p>
          <w:p w14:paraId="71AC1FD9" w14:textId="63F5B2E2" w:rsidR="0099223B" w:rsidRPr="0099223B" w:rsidRDefault="0099223B" w:rsidP="00242093">
            <w:pPr>
              <w:spacing w:before="60"/>
              <w:rPr>
                <w:rFonts w:cs="Arial"/>
                <w:b/>
                <w:color w:val="000000"/>
                <w:sz w:val="22"/>
                <w:szCs w:val="22"/>
                <w:u w:val="single"/>
              </w:rPr>
            </w:pPr>
            <w:r w:rsidRPr="0099223B">
              <w:rPr>
                <w:rFonts w:cs="Arial"/>
                <w:b/>
                <w:color w:val="000000"/>
                <w:sz w:val="22"/>
                <w:szCs w:val="22"/>
                <w:u w:val="single"/>
              </w:rPr>
              <w:t>KS2</w:t>
            </w:r>
          </w:p>
          <w:p w14:paraId="63DC7E1D" w14:textId="227E36CE" w:rsidR="0099223B" w:rsidRPr="0099223B" w:rsidRDefault="0099223B" w:rsidP="00242093">
            <w:pPr>
              <w:spacing w:before="60"/>
              <w:rPr>
                <w:rFonts w:cs="Arial"/>
                <w:color w:val="000000"/>
                <w:sz w:val="22"/>
                <w:szCs w:val="22"/>
              </w:rPr>
            </w:pPr>
            <w:r w:rsidRPr="0099223B">
              <w:rPr>
                <w:rFonts w:cs="Arial"/>
                <w:color w:val="000000"/>
                <w:sz w:val="22"/>
                <w:szCs w:val="22"/>
              </w:rPr>
              <w:t>19 children were disadvantaged, 61% of the cohort.</w:t>
            </w:r>
          </w:p>
          <w:tbl>
            <w:tblPr>
              <w:tblW w:w="0" w:type="auto"/>
              <w:tblCellMar>
                <w:top w:w="15" w:type="dxa"/>
                <w:left w:w="15" w:type="dxa"/>
                <w:bottom w:w="15" w:type="dxa"/>
                <w:right w:w="15" w:type="dxa"/>
              </w:tblCellMar>
              <w:tblLook w:val="04A0" w:firstRow="1" w:lastRow="0" w:firstColumn="1" w:lastColumn="0" w:noHBand="0" w:noVBand="1"/>
            </w:tblPr>
            <w:tblGrid>
              <w:gridCol w:w="1292"/>
              <w:gridCol w:w="681"/>
              <w:gridCol w:w="657"/>
            </w:tblGrid>
            <w:tr w:rsidR="0099223B" w:rsidRPr="0099223B" w14:paraId="0771AFC4" w14:textId="77777777" w:rsidTr="009922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1FD52" w14:textId="77777777" w:rsidR="0099223B" w:rsidRPr="0099223B" w:rsidRDefault="0099223B" w:rsidP="0099223B">
                  <w:pPr>
                    <w:suppressAutoHyphens w:val="0"/>
                    <w:autoSpaceDN/>
                    <w:spacing w:after="0" w:line="240" w:lineRule="auto"/>
                    <w:rPr>
                      <w:rFonts w:cs="Arial"/>
                      <w:color w:val="auto"/>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B03385" w14:textId="77777777" w:rsidR="0099223B" w:rsidRPr="0099223B" w:rsidRDefault="0099223B" w:rsidP="0099223B">
                  <w:pPr>
                    <w:suppressAutoHyphens w:val="0"/>
                    <w:autoSpaceDN/>
                    <w:spacing w:before="233" w:after="0" w:line="240" w:lineRule="auto"/>
                    <w:rPr>
                      <w:rFonts w:cs="Arial"/>
                      <w:color w:val="auto"/>
                      <w:sz w:val="22"/>
                      <w:szCs w:val="22"/>
                    </w:rPr>
                  </w:pPr>
                  <w:r w:rsidRPr="0099223B">
                    <w:rPr>
                      <w:rFonts w:cs="Arial"/>
                      <w:b/>
                      <w:bCs/>
                      <w:color w:val="000000"/>
                      <w:sz w:val="22"/>
                      <w:szCs w:val="22"/>
                    </w:rPr>
                    <w:t>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6C147" w14:textId="77777777" w:rsidR="0099223B" w:rsidRPr="0099223B" w:rsidRDefault="0099223B" w:rsidP="0099223B">
                  <w:pPr>
                    <w:suppressAutoHyphens w:val="0"/>
                    <w:autoSpaceDN/>
                    <w:spacing w:before="233" w:after="0" w:line="240" w:lineRule="auto"/>
                    <w:rPr>
                      <w:rFonts w:cs="Arial"/>
                      <w:color w:val="auto"/>
                      <w:sz w:val="22"/>
                      <w:szCs w:val="22"/>
                    </w:rPr>
                  </w:pPr>
                  <w:r w:rsidRPr="0099223B">
                    <w:rPr>
                      <w:rFonts w:cs="Arial"/>
                      <w:b/>
                      <w:bCs/>
                      <w:color w:val="000000"/>
                      <w:sz w:val="22"/>
                      <w:szCs w:val="22"/>
                    </w:rPr>
                    <w:t>Dis</w:t>
                  </w:r>
                </w:p>
              </w:tc>
            </w:tr>
            <w:tr w:rsidR="0099223B" w:rsidRPr="0099223B" w14:paraId="32799FF8" w14:textId="77777777" w:rsidTr="009922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70A621" w14:textId="77777777" w:rsidR="0099223B" w:rsidRPr="0099223B" w:rsidRDefault="0099223B" w:rsidP="0099223B">
                  <w:pPr>
                    <w:suppressAutoHyphens w:val="0"/>
                    <w:autoSpaceDN/>
                    <w:spacing w:before="233" w:after="0" w:line="240" w:lineRule="auto"/>
                    <w:rPr>
                      <w:rFonts w:cs="Arial"/>
                      <w:color w:val="auto"/>
                      <w:sz w:val="22"/>
                      <w:szCs w:val="22"/>
                    </w:rPr>
                  </w:pPr>
                  <w:r w:rsidRPr="0099223B">
                    <w:rPr>
                      <w:rFonts w:cs="Arial"/>
                      <w:b/>
                      <w:bCs/>
                      <w:color w:val="000000"/>
                      <w:sz w:val="22"/>
                      <w:szCs w:val="22"/>
                    </w:rPr>
                    <w:t>Combined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A2151C" w14:textId="77777777" w:rsidR="0099223B" w:rsidRPr="0099223B" w:rsidRDefault="0099223B" w:rsidP="0099223B">
                  <w:pPr>
                    <w:suppressAutoHyphens w:val="0"/>
                    <w:autoSpaceDN/>
                    <w:spacing w:before="233" w:after="0" w:line="240" w:lineRule="auto"/>
                    <w:rPr>
                      <w:rFonts w:cs="Arial"/>
                      <w:color w:val="auto"/>
                      <w:sz w:val="22"/>
                      <w:szCs w:val="22"/>
                    </w:rPr>
                  </w:pPr>
                  <w:r w:rsidRPr="0099223B">
                    <w:rPr>
                      <w:rFonts w:cs="Arial"/>
                      <w:color w:val="000000"/>
                      <w:sz w:val="22"/>
                      <w:szCs w:val="22"/>
                    </w:rPr>
                    <w:t>77%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044938" w14:textId="77777777" w:rsidR="0099223B" w:rsidRPr="0099223B" w:rsidRDefault="0099223B" w:rsidP="0099223B">
                  <w:pPr>
                    <w:suppressAutoHyphens w:val="0"/>
                    <w:autoSpaceDN/>
                    <w:spacing w:before="233" w:after="0" w:line="240" w:lineRule="auto"/>
                    <w:rPr>
                      <w:rFonts w:cs="Arial"/>
                      <w:color w:val="auto"/>
                      <w:sz w:val="22"/>
                      <w:szCs w:val="22"/>
                    </w:rPr>
                  </w:pPr>
                  <w:r w:rsidRPr="0099223B">
                    <w:rPr>
                      <w:rFonts w:cs="Arial"/>
                      <w:color w:val="000000"/>
                      <w:sz w:val="22"/>
                      <w:szCs w:val="22"/>
                    </w:rPr>
                    <w:t>79%</w:t>
                  </w:r>
                </w:p>
              </w:tc>
            </w:tr>
            <w:tr w:rsidR="0099223B" w:rsidRPr="0099223B" w14:paraId="1EE89F54" w14:textId="77777777" w:rsidTr="009922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FAB087" w14:textId="77777777" w:rsidR="0099223B" w:rsidRPr="0099223B" w:rsidRDefault="0099223B" w:rsidP="0099223B">
                  <w:pPr>
                    <w:suppressAutoHyphens w:val="0"/>
                    <w:autoSpaceDN/>
                    <w:spacing w:before="233" w:after="0" w:line="240" w:lineRule="auto"/>
                    <w:rPr>
                      <w:rFonts w:cs="Arial"/>
                      <w:color w:val="auto"/>
                      <w:sz w:val="22"/>
                      <w:szCs w:val="22"/>
                    </w:rPr>
                  </w:pPr>
                  <w:r w:rsidRPr="0099223B">
                    <w:rPr>
                      <w:rFonts w:cs="Arial"/>
                      <w:b/>
                      <w:bCs/>
                      <w:color w:val="000000"/>
                      <w:sz w:val="22"/>
                      <w:szCs w:val="22"/>
                    </w:rPr>
                    <w:t>Reading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531729" w14:textId="77777777" w:rsidR="0099223B" w:rsidRPr="0099223B" w:rsidRDefault="0099223B" w:rsidP="0099223B">
                  <w:pPr>
                    <w:suppressAutoHyphens w:val="0"/>
                    <w:autoSpaceDN/>
                    <w:spacing w:before="233" w:after="0" w:line="240" w:lineRule="auto"/>
                    <w:rPr>
                      <w:rFonts w:cs="Arial"/>
                      <w:color w:val="auto"/>
                      <w:sz w:val="22"/>
                      <w:szCs w:val="22"/>
                    </w:rPr>
                  </w:pPr>
                  <w:r w:rsidRPr="0099223B">
                    <w:rPr>
                      <w:rFonts w:cs="Arial"/>
                      <w:color w:val="000000"/>
                      <w:sz w:val="22"/>
                      <w:szCs w:val="22"/>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5C0997" w14:textId="77777777" w:rsidR="0099223B" w:rsidRPr="0099223B" w:rsidRDefault="0099223B" w:rsidP="0099223B">
                  <w:pPr>
                    <w:suppressAutoHyphens w:val="0"/>
                    <w:autoSpaceDN/>
                    <w:spacing w:before="233" w:after="0" w:line="240" w:lineRule="auto"/>
                    <w:rPr>
                      <w:rFonts w:cs="Arial"/>
                      <w:color w:val="auto"/>
                      <w:sz w:val="22"/>
                      <w:szCs w:val="22"/>
                    </w:rPr>
                  </w:pPr>
                  <w:r w:rsidRPr="0099223B">
                    <w:rPr>
                      <w:rFonts w:cs="Arial"/>
                      <w:color w:val="000000"/>
                      <w:sz w:val="22"/>
                      <w:szCs w:val="22"/>
                    </w:rPr>
                    <w:t>95%</w:t>
                  </w:r>
                </w:p>
              </w:tc>
            </w:tr>
            <w:tr w:rsidR="0099223B" w:rsidRPr="0099223B" w14:paraId="38073D36" w14:textId="77777777" w:rsidTr="009922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351934" w14:textId="77777777" w:rsidR="0099223B" w:rsidRPr="0099223B" w:rsidRDefault="0099223B" w:rsidP="0099223B">
                  <w:pPr>
                    <w:suppressAutoHyphens w:val="0"/>
                    <w:autoSpaceDN/>
                    <w:spacing w:before="233" w:after="0" w:line="240" w:lineRule="auto"/>
                    <w:rPr>
                      <w:rFonts w:cs="Arial"/>
                      <w:color w:val="auto"/>
                      <w:sz w:val="22"/>
                      <w:szCs w:val="22"/>
                    </w:rPr>
                  </w:pPr>
                  <w:r w:rsidRPr="0099223B">
                    <w:rPr>
                      <w:rFonts w:cs="Arial"/>
                      <w:b/>
                      <w:bCs/>
                      <w:color w:val="000000"/>
                      <w:sz w:val="22"/>
                      <w:szCs w:val="22"/>
                    </w:rPr>
                    <w:t>Writing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14C8DD" w14:textId="77777777" w:rsidR="0099223B" w:rsidRPr="0099223B" w:rsidRDefault="0099223B" w:rsidP="0099223B">
                  <w:pPr>
                    <w:suppressAutoHyphens w:val="0"/>
                    <w:autoSpaceDN/>
                    <w:spacing w:before="233" w:after="0" w:line="240" w:lineRule="auto"/>
                    <w:rPr>
                      <w:rFonts w:cs="Arial"/>
                      <w:color w:val="auto"/>
                      <w:sz w:val="22"/>
                      <w:szCs w:val="22"/>
                    </w:rPr>
                  </w:pPr>
                  <w:r w:rsidRPr="0099223B">
                    <w:rPr>
                      <w:rFonts w:cs="Arial"/>
                      <w:color w:val="000000"/>
                      <w:sz w:val="22"/>
                      <w:szCs w:val="22"/>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DFD9C" w14:textId="77777777" w:rsidR="0099223B" w:rsidRPr="0099223B" w:rsidRDefault="0099223B" w:rsidP="0099223B">
                  <w:pPr>
                    <w:suppressAutoHyphens w:val="0"/>
                    <w:autoSpaceDN/>
                    <w:spacing w:before="233" w:after="0" w:line="240" w:lineRule="auto"/>
                    <w:rPr>
                      <w:rFonts w:cs="Arial"/>
                      <w:color w:val="auto"/>
                      <w:sz w:val="22"/>
                      <w:szCs w:val="22"/>
                    </w:rPr>
                  </w:pPr>
                  <w:r w:rsidRPr="0099223B">
                    <w:rPr>
                      <w:rFonts w:cs="Arial"/>
                      <w:color w:val="000000"/>
                      <w:sz w:val="22"/>
                      <w:szCs w:val="22"/>
                    </w:rPr>
                    <w:t>84%</w:t>
                  </w:r>
                </w:p>
              </w:tc>
            </w:tr>
            <w:tr w:rsidR="0099223B" w:rsidRPr="0099223B" w14:paraId="6119AE31" w14:textId="77777777" w:rsidTr="009922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C41DE8" w14:textId="77777777" w:rsidR="0099223B" w:rsidRPr="0099223B" w:rsidRDefault="0099223B" w:rsidP="0099223B">
                  <w:pPr>
                    <w:suppressAutoHyphens w:val="0"/>
                    <w:autoSpaceDN/>
                    <w:spacing w:before="233" w:after="0" w:line="240" w:lineRule="auto"/>
                    <w:rPr>
                      <w:rFonts w:cs="Arial"/>
                      <w:color w:val="auto"/>
                      <w:sz w:val="22"/>
                      <w:szCs w:val="22"/>
                    </w:rPr>
                  </w:pPr>
                  <w:r w:rsidRPr="0099223B">
                    <w:rPr>
                      <w:rFonts w:cs="Arial"/>
                      <w:b/>
                      <w:bCs/>
                      <w:color w:val="000000"/>
                      <w:sz w:val="22"/>
                      <w:szCs w:val="22"/>
                    </w:rPr>
                    <w:t>Maths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BC063A" w14:textId="77777777" w:rsidR="0099223B" w:rsidRPr="0099223B" w:rsidRDefault="0099223B" w:rsidP="0099223B">
                  <w:pPr>
                    <w:suppressAutoHyphens w:val="0"/>
                    <w:autoSpaceDN/>
                    <w:spacing w:before="233" w:after="0" w:line="240" w:lineRule="auto"/>
                    <w:rPr>
                      <w:rFonts w:cs="Arial"/>
                      <w:color w:val="auto"/>
                      <w:sz w:val="22"/>
                      <w:szCs w:val="22"/>
                    </w:rPr>
                  </w:pPr>
                  <w:r w:rsidRPr="0099223B">
                    <w:rPr>
                      <w:rFonts w:cs="Arial"/>
                      <w:color w:val="000000"/>
                      <w:sz w:val="22"/>
                      <w:szCs w:val="22"/>
                    </w:rPr>
                    <w:t>87%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29137" w14:textId="77777777" w:rsidR="0099223B" w:rsidRPr="0099223B" w:rsidRDefault="0099223B" w:rsidP="0099223B">
                  <w:pPr>
                    <w:suppressAutoHyphens w:val="0"/>
                    <w:autoSpaceDN/>
                    <w:spacing w:before="233" w:after="0" w:line="240" w:lineRule="auto"/>
                    <w:rPr>
                      <w:rFonts w:cs="Arial"/>
                      <w:color w:val="auto"/>
                      <w:sz w:val="22"/>
                      <w:szCs w:val="22"/>
                    </w:rPr>
                  </w:pPr>
                  <w:r w:rsidRPr="0099223B">
                    <w:rPr>
                      <w:rFonts w:cs="Arial"/>
                      <w:color w:val="000000"/>
                      <w:sz w:val="22"/>
                      <w:szCs w:val="22"/>
                    </w:rPr>
                    <w:t>84%</w:t>
                  </w:r>
                </w:p>
              </w:tc>
            </w:tr>
          </w:tbl>
          <w:p w14:paraId="5F093CE6" w14:textId="09A8EA2D" w:rsidR="0099223B" w:rsidRPr="0099223B" w:rsidRDefault="0099223B" w:rsidP="00242093">
            <w:pPr>
              <w:spacing w:before="60"/>
              <w:rPr>
                <w:rFonts w:cs="Arial"/>
                <w:color w:val="000000"/>
                <w:sz w:val="22"/>
                <w:szCs w:val="22"/>
              </w:rPr>
            </w:pPr>
          </w:p>
          <w:p w14:paraId="302C856F" w14:textId="2424ACA8" w:rsidR="0099223B" w:rsidRPr="0099223B" w:rsidRDefault="0099223B" w:rsidP="00242093">
            <w:pPr>
              <w:spacing w:before="60"/>
              <w:rPr>
                <w:rFonts w:cs="Arial"/>
                <w:color w:val="000000"/>
                <w:sz w:val="22"/>
                <w:szCs w:val="22"/>
              </w:rPr>
            </w:pPr>
            <w:r w:rsidRPr="0099223B">
              <w:rPr>
                <w:rFonts w:cs="Arial"/>
                <w:color w:val="000000"/>
                <w:sz w:val="22"/>
                <w:szCs w:val="22"/>
              </w:rPr>
              <w:t> Disadv pupils outperformed peers in Reading and Writing, 3% difference in Maths outcomes at ARE</w:t>
            </w:r>
          </w:p>
          <w:p w14:paraId="0CB16791" w14:textId="00D3F362" w:rsidR="0099223B" w:rsidRPr="0099223B" w:rsidRDefault="0099223B" w:rsidP="00242093">
            <w:pPr>
              <w:spacing w:before="60"/>
              <w:rPr>
                <w:rFonts w:cs="Arial"/>
                <w:color w:val="000000"/>
                <w:sz w:val="22"/>
                <w:szCs w:val="22"/>
              </w:rPr>
            </w:pPr>
          </w:p>
          <w:p w14:paraId="5023926C" w14:textId="28BEC03A" w:rsidR="0099223B" w:rsidRPr="002F4C6F" w:rsidRDefault="0099223B" w:rsidP="00242093">
            <w:pPr>
              <w:spacing w:before="60"/>
              <w:rPr>
                <w:i/>
                <w:iCs/>
                <w:lang w:eastAsia="en-US"/>
              </w:rPr>
            </w:pPr>
          </w:p>
        </w:tc>
      </w:tr>
    </w:tbl>
    <w:p w14:paraId="188578FB" w14:textId="537EFB51" w:rsidR="0008384B" w:rsidRDefault="0008384B" w:rsidP="0008384B"/>
    <w:p w14:paraId="497C2CDD" w14:textId="3BD1FD57" w:rsidR="0008384B" w:rsidRDefault="0008384B" w:rsidP="0008384B"/>
    <w:bookmarkEnd w:id="15"/>
    <w:bookmarkEnd w:id="16"/>
    <w:bookmarkEnd w:id="17"/>
    <w:p w14:paraId="2A7D5564" w14:textId="77777777" w:rsidR="00E66558" w:rsidRDefault="00E66558"/>
    <w:sectPr w:rsidR="00E66558">
      <w:headerReference w:type="default" r:id="rId16"/>
      <w:footerReference w:type="default" r:id="rId17"/>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C2250" w14:textId="77777777" w:rsidR="001A1D38" w:rsidRDefault="001A1D38">
      <w:pPr>
        <w:spacing w:after="0" w:line="240" w:lineRule="auto"/>
      </w:pPr>
      <w:r>
        <w:separator/>
      </w:r>
    </w:p>
  </w:endnote>
  <w:endnote w:type="continuationSeparator" w:id="0">
    <w:p w14:paraId="2B8979EB" w14:textId="77777777" w:rsidR="001A1D38" w:rsidRDefault="001A1D38">
      <w:pPr>
        <w:spacing w:after="0" w:line="240" w:lineRule="auto"/>
      </w:pPr>
      <w:r>
        <w:continuationSeparator/>
      </w:r>
    </w:p>
  </w:endnote>
  <w:endnote w:type="continuationNotice" w:id="1">
    <w:p w14:paraId="0F175CAB" w14:textId="77777777" w:rsidR="001A1D38" w:rsidRDefault="001A1D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77EA3485" w:rsidR="00C373EA" w:rsidRDefault="009D71E8">
    <w:pPr>
      <w:pStyle w:val="Footer"/>
      <w:ind w:firstLine="4513"/>
    </w:pPr>
    <w:r>
      <w:fldChar w:fldCharType="begin"/>
    </w:r>
    <w:r>
      <w:instrText xml:space="preserve"> PAGE </w:instrText>
    </w:r>
    <w:r>
      <w:fldChar w:fldCharType="separate"/>
    </w:r>
    <w:r w:rsidR="00F9062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DD8B3" w14:textId="77777777" w:rsidR="001A1D38" w:rsidRDefault="001A1D38">
      <w:pPr>
        <w:spacing w:after="0" w:line="240" w:lineRule="auto"/>
      </w:pPr>
      <w:r>
        <w:separator/>
      </w:r>
    </w:p>
  </w:footnote>
  <w:footnote w:type="continuationSeparator" w:id="0">
    <w:p w14:paraId="2F7474DF" w14:textId="77777777" w:rsidR="001A1D38" w:rsidRDefault="001A1D38">
      <w:pPr>
        <w:spacing w:after="0" w:line="240" w:lineRule="auto"/>
      </w:pPr>
      <w:r>
        <w:continuationSeparator/>
      </w:r>
    </w:p>
  </w:footnote>
  <w:footnote w:type="continuationNotice" w:id="1">
    <w:p w14:paraId="1D4D513A" w14:textId="77777777" w:rsidR="001A1D38" w:rsidRDefault="001A1D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2"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3"/>
  </w:num>
  <w:num w:numId="3">
    <w:abstractNumId w:val="6"/>
  </w:num>
  <w:num w:numId="4">
    <w:abstractNumId w:val="7"/>
  </w:num>
  <w:num w:numId="5">
    <w:abstractNumId w:val="0"/>
  </w:num>
  <w:num w:numId="6">
    <w:abstractNumId w:val="8"/>
  </w:num>
  <w:num w:numId="7">
    <w:abstractNumId w:val="12"/>
  </w:num>
  <w:num w:numId="8">
    <w:abstractNumId w:val="16"/>
  </w:num>
  <w:num w:numId="9">
    <w:abstractNumId w:val="14"/>
  </w:num>
  <w:num w:numId="10">
    <w:abstractNumId w:val="13"/>
  </w:num>
  <w:num w:numId="11">
    <w:abstractNumId w:val="4"/>
  </w:num>
  <w:num w:numId="12">
    <w:abstractNumId w:val="15"/>
  </w:num>
  <w:num w:numId="13">
    <w:abstractNumId w:val="11"/>
  </w:num>
  <w:num w:numId="14">
    <w:abstractNumId w:val="9"/>
  </w:num>
  <w:num w:numId="15">
    <w:abstractNumId w:val="2"/>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3A45"/>
    <w:rsid w:val="00007067"/>
    <w:rsid w:val="00023729"/>
    <w:rsid w:val="000243B4"/>
    <w:rsid w:val="0002530E"/>
    <w:rsid w:val="0002710D"/>
    <w:rsid w:val="00031EA0"/>
    <w:rsid w:val="000352E5"/>
    <w:rsid w:val="00036678"/>
    <w:rsid w:val="000452EB"/>
    <w:rsid w:val="00045603"/>
    <w:rsid w:val="000463AE"/>
    <w:rsid w:val="000507A3"/>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D22B0"/>
    <w:rsid w:val="000D318D"/>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1D38"/>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37AE"/>
    <w:rsid w:val="00287FA8"/>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07ABF"/>
    <w:rsid w:val="003111F5"/>
    <w:rsid w:val="00317664"/>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70FE"/>
    <w:rsid w:val="0048157F"/>
    <w:rsid w:val="00481D56"/>
    <w:rsid w:val="00490408"/>
    <w:rsid w:val="004A4C45"/>
    <w:rsid w:val="004A55C4"/>
    <w:rsid w:val="004B0485"/>
    <w:rsid w:val="004B0ED7"/>
    <w:rsid w:val="004B1F58"/>
    <w:rsid w:val="004B428E"/>
    <w:rsid w:val="004B4D0A"/>
    <w:rsid w:val="004B4D37"/>
    <w:rsid w:val="004C42F0"/>
    <w:rsid w:val="004D50C8"/>
    <w:rsid w:val="004D6B72"/>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201EB"/>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A63CA"/>
    <w:rsid w:val="007A713B"/>
    <w:rsid w:val="007A7DA0"/>
    <w:rsid w:val="007B64E5"/>
    <w:rsid w:val="007C2F04"/>
    <w:rsid w:val="007F06E5"/>
    <w:rsid w:val="007F5B8B"/>
    <w:rsid w:val="00805BC0"/>
    <w:rsid w:val="00814FB9"/>
    <w:rsid w:val="00817E9A"/>
    <w:rsid w:val="00827786"/>
    <w:rsid w:val="00827BDA"/>
    <w:rsid w:val="00830D57"/>
    <w:rsid w:val="00831F00"/>
    <w:rsid w:val="00850CA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7FBC"/>
    <w:rsid w:val="008F216E"/>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9109C"/>
    <w:rsid w:val="0099223B"/>
    <w:rsid w:val="009936DB"/>
    <w:rsid w:val="00993CFC"/>
    <w:rsid w:val="009A1DC2"/>
    <w:rsid w:val="009A5EEA"/>
    <w:rsid w:val="009B0906"/>
    <w:rsid w:val="009B38F2"/>
    <w:rsid w:val="009B7433"/>
    <w:rsid w:val="009C0914"/>
    <w:rsid w:val="009C27E5"/>
    <w:rsid w:val="009D08BC"/>
    <w:rsid w:val="009D24A1"/>
    <w:rsid w:val="009D3891"/>
    <w:rsid w:val="009D71E8"/>
    <w:rsid w:val="009E0CF5"/>
    <w:rsid w:val="009E104B"/>
    <w:rsid w:val="009E7DE4"/>
    <w:rsid w:val="009F3BBD"/>
    <w:rsid w:val="00A022AB"/>
    <w:rsid w:val="00A063DD"/>
    <w:rsid w:val="00A112B5"/>
    <w:rsid w:val="00A14EEA"/>
    <w:rsid w:val="00A33636"/>
    <w:rsid w:val="00A44FB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D7B5A"/>
    <w:rsid w:val="00AE229F"/>
    <w:rsid w:val="00AF0618"/>
    <w:rsid w:val="00AF5E20"/>
    <w:rsid w:val="00B002FA"/>
    <w:rsid w:val="00B00327"/>
    <w:rsid w:val="00B024B3"/>
    <w:rsid w:val="00B11DE8"/>
    <w:rsid w:val="00B179ED"/>
    <w:rsid w:val="00B20E18"/>
    <w:rsid w:val="00B331E1"/>
    <w:rsid w:val="00B4532A"/>
    <w:rsid w:val="00B47C66"/>
    <w:rsid w:val="00B572C4"/>
    <w:rsid w:val="00B60858"/>
    <w:rsid w:val="00B60D69"/>
    <w:rsid w:val="00B6234E"/>
    <w:rsid w:val="00B74D4E"/>
    <w:rsid w:val="00B80219"/>
    <w:rsid w:val="00B8162A"/>
    <w:rsid w:val="00B87184"/>
    <w:rsid w:val="00B91453"/>
    <w:rsid w:val="00BA19A5"/>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97A7F"/>
    <w:rsid w:val="00CA4421"/>
    <w:rsid w:val="00CA5363"/>
    <w:rsid w:val="00CA7D07"/>
    <w:rsid w:val="00CB24A4"/>
    <w:rsid w:val="00CB5B17"/>
    <w:rsid w:val="00CB6AA0"/>
    <w:rsid w:val="00CC4443"/>
    <w:rsid w:val="00CC5CAF"/>
    <w:rsid w:val="00CE7E1B"/>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641A"/>
    <w:rsid w:val="00DD17B3"/>
    <w:rsid w:val="00DD21A1"/>
    <w:rsid w:val="00DD68FB"/>
    <w:rsid w:val="00DD6B7D"/>
    <w:rsid w:val="00DD6E14"/>
    <w:rsid w:val="00DE15AC"/>
    <w:rsid w:val="00DF2015"/>
    <w:rsid w:val="00E061EC"/>
    <w:rsid w:val="00E0696B"/>
    <w:rsid w:val="00E10E81"/>
    <w:rsid w:val="00E13E51"/>
    <w:rsid w:val="00E21F56"/>
    <w:rsid w:val="00E3014F"/>
    <w:rsid w:val="00E4286E"/>
    <w:rsid w:val="00E43EAD"/>
    <w:rsid w:val="00E62DCB"/>
    <w:rsid w:val="00E651DD"/>
    <w:rsid w:val="00E66558"/>
    <w:rsid w:val="00E70D81"/>
    <w:rsid w:val="00E726A6"/>
    <w:rsid w:val="00E73418"/>
    <w:rsid w:val="00E8109E"/>
    <w:rsid w:val="00E85C23"/>
    <w:rsid w:val="00E86F05"/>
    <w:rsid w:val="00EA3A2A"/>
    <w:rsid w:val="00EA6B46"/>
    <w:rsid w:val="00EB4556"/>
    <w:rsid w:val="00EB4A11"/>
    <w:rsid w:val="00EB64C8"/>
    <w:rsid w:val="00ED4136"/>
    <w:rsid w:val="00ED5108"/>
    <w:rsid w:val="00ED6AE8"/>
    <w:rsid w:val="00EE291B"/>
    <w:rsid w:val="00EE2CB2"/>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54FCB"/>
    <w:rsid w:val="00F62587"/>
    <w:rsid w:val="00F631A6"/>
    <w:rsid w:val="00F63E9E"/>
    <w:rsid w:val="00F63FEA"/>
    <w:rsid w:val="00F66AA7"/>
    <w:rsid w:val="00F72D70"/>
    <w:rsid w:val="00F75603"/>
    <w:rsid w:val="00F76843"/>
    <w:rsid w:val="00F776E1"/>
    <w:rsid w:val="00F77E8D"/>
    <w:rsid w:val="00F9062B"/>
    <w:rsid w:val="00F925EB"/>
    <w:rsid w:val="00F97033"/>
    <w:rsid w:val="00FA4264"/>
    <w:rsid w:val="00FA6DD0"/>
    <w:rsid w:val="00FC28DF"/>
    <w:rsid w:val="00FD1780"/>
    <w:rsid w:val="00FD2297"/>
    <w:rsid w:val="00FD406D"/>
    <w:rsid w:val="00FD6AC6"/>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styleId="NormalWeb">
    <w:name w:val="Normal (Web)"/>
    <w:basedOn w:val="Normal"/>
    <w:uiPriority w:val="99"/>
    <w:semiHidden/>
    <w:unhideWhenUsed/>
    <w:rsid w:val="0099223B"/>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36273416">
      <w:bodyDiv w:val="1"/>
      <w:marLeft w:val="0"/>
      <w:marRight w:val="0"/>
      <w:marTop w:val="0"/>
      <w:marBottom w:val="0"/>
      <w:divBdr>
        <w:top w:val="none" w:sz="0" w:space="0" w:color="auto"/>
        <w:left w:val="none" w:sz="0" w:space="0" w:color="auto"/>
        <w:bottom w:val="none" w:sz="0" w:space="0" w:color="auto"/>
        <w:right w:val="none" w:sz="0" w:space="0" w:color="auto"/>
      </w:divBdr>
    </w:div>
    <w:div w:id="307706321">
      <w:bodyDiv w:val="1"/>
      <w:marLeft w:val="0"/>
      <w:marRight w:val="0"/>
      <w:marTop w:val="0"/>
      <w:marBottom w:val="0"/>
      <w:divBdr>
        <w:top w:val="none" w:sz="0" w:space="0" w:color="auto"/>
        <w:left w:val="none" w:sz="0" w:space="0" w:color="auto"/>
        <w:bottom w:val="none" w:sz="0" w:space="0" w:color="auto"/>
        <w:right w:val="none" w:sz="0" w:space="0" w:color="auto"/>
      </w:divBdr>
    </w:div>
    <w:div w:id="1001472588">
      <w:bodyDiv w:val="1"/>
      <w:marLeft w:val="0"/>
      <w:marRight w:val="0"/>
      <w:marTop w:val="0"/>
      <w:marBottom w:val="0"/>
      <w:divBdr>
        <w:top w:val="none" w:sz="0" w:space="0" w:color="auto"/>
        <w:left w:val="none" w:sz="0" w:space="0" w:color="auto"/>
        <w:bottom w:val="none" w:sz="0" w:space="0" w:color="auto"/>
        <w:right w:val="none" w:sz="0" w:space="0" w:color="auto"/>
      </w:divBdr>
    </w:div>
    <w:div w:id="1233351137">
      <w:bodyDiv w:val="1"/>
      <w:marLeft w:val="0"/>
      <w:marRight w:val="0"/>
      <w:marTop w:val="0"/>
      <w:marBottom w:val="0"/>
      <w:divBdr>
        <w:top w:val="none" w:sz="0" w:space="0" w:color="auto"/>
        <w:left w:val="none" w:sz="0" w:space="0" w:color="auto"/>
        <w:bottom w:val="none" w:sz="0" w:space="0" w:color="auto"/>
        <w:right w:val="none" w:sz="0" w:space="0" w:color="auto"/>
      </w:divBdr>
    </w:div>
    <w:div w:id="1797485996">
      <w:bodyDiv w:val="1"/>
      <w:marLeft w:val="0"/>
      <w:marRight w:val="0"/>
      <w:marTop w:val="0"/>
      <w:marBottom w:val="0"/>
      <w:divBdr>
        <w:top w:val="none" w:sz="0" w:space="0" w:color="auto"/>
        <w:left w:val="none" w:sz="0" w:space="0" w:color="auto"/>
        <w:bottom w:val="none" w:sz="0" w:space="0" w:color="auto"/>
        <w:right w:val="none" w:sz="0" w:space="0" w:color="auto"/>
      </w:divBdr>
      <w:divsChild>
        <w:div w:id="174077365">
          <w:marLeft w:val="137"/>
          <w:marRight w:val="0"/>
          <w:marTop w:val="0"/>
          <w:marBottom w:val="0"/>
          <w:divBdr>
            <w:top w:val="none" w:sz="0" w:space="0" w:color="auto"/>
            <w:left w:val="none" w:sz="0" w:space="0" w:color="auto"/>
            <w:bottom w:val="none" w:sz="0" w:space="0" w:color="auto"/>
            <w:right w:val="none" w:sz="0" w:space="0" w:color="auto"/>
          </w:divBdr>
        </w:div>
      </w:divsChild>
    </w:div>
    <w:div w:id="1879077671">
      <w:bodyDiv w:val="1"/>
      <w:marLeft w:val="0"/>
      <w:marRight w:val="0"/>
      <w:marTop w:val="0"/>
      <w:marBottom w:val="0"/>
      <w:divBdr>
        <w:top w:val="none" w:sz="0" w:space="0" w:color="auto"/>
        <w:left w:val="none" w:sz="0" w:space="0" w:color="auto"/>
        <w:bottom w:val="none" w:sz="0" w:space="0" w:color="auto"/>
        <w:right w:val="none" w:sz="0" w:space="0" w:color="auto"/>
      </w:divBdr>
    </w:div>
    <w:div w:id="2120291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oice21.org/" TargetMode="External"/><Relationship Id="rId13" Type="http://schemas.openxmlformats.org/officeDocument/2006/relationships/hyperlink" Target="https://educationendowmentfoundation.org.uk/education-evidence/guidancereports/literacy-early-year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ucationendowmentfoundation.org.uk/education-evidence/guidance-reports/send" TargetMode="External"/><Relationship Id="rId12" Type="http://schemas.openxmlformats.org/officeDocument/2006/relationships/hyperlink" Target="https://educationendowmentfoundation.org.uk/education-evidence/guidancereports/supporting-parent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fer.ac.uk/media/1700/eftr05.pdf"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https://educationendowmentfoundation.org.uk/education-evidence/guidance-reports/literacy-early-yea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ducationendowmentfoundation.org.uk/education-evidence/teaching-learning-toolkit/oral-language-interventions" TargetMode="External"/><Relationship Id="rId14" Type="http://schemas.openxmlformats.org/officeDocument/2006/relationships/hyperlink" Target="https://educationendowmentfoundation.org.uk/education-evidence/guidancereports/supporting-par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2231</Words>
  <Characters>12723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Tracey Leishman</cp:lastModifiedBy>
  <cp:revision>2</cp:revision>
  <cp:lastPrinted>2014-09-18T05:26:00Z</cp:lastPrinted>
  <dcterms:created xsi:type="dcterms:W3CDTF">2026-01-23T15:15:00Z</dcterms:created>
  <dcterms:modified xsi:type="dcterms:W3CDTF">2026-01-23T15:15:00Z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